
<file path=[Content_Types].xml><?xml version="1.0" encoding="utf-8"?>
<Types xmlns="http://schemas.openxmlformats.org/package/2006/content-types">
  <Default Extension="xml" ContentType="application/vnd.openxmlformats-officedocument.wordprocessingml.document.main+xml"/>
  <Default Extension="bmp" ContentType="image/bmp"/>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663f87e05184cef" /></Relationships>
</file>

<file path=word/document.xml><?xml version="1.0" encoding="utf-8"?>
<w:document xmlns:w="http://schemas.openxmlformats.org/wordprocessingml/2006/main">
  <w:body>
    <w:sectPr>
      <w:pgSz w:w="11906" w:h="16838" w:orient="portrait"/>
      <w:pgMar w:top="1440" w:right="1440" w:bottom="1440" w:left="1440"/>
    </w:sectPr>
    <w:p>
      <w:pPr>
        <w:spacing w:before="0" w:line="210" w:lineRule="atLeast"/>
        <w:ind w:left="0" w:right="0"/>
      </w:pPr>
      <w:r>
        <w:rPr>
          <w:rFonts w:ascii="Verdana" w:hAnsi="Verdana" w:eastAsia="Verdana" w:cs="Verdana"/>
          <w:color w:val="000000"/>
          <w:sz w:val="22"/>
        </w:rPr>
        <w:t xml:space="preserve">Преузето са </w:t>
      </w:r>
      <w:hyperlink xmlns:r="http://schemas.openxmlformats.org/officeDocument/2006/relationships" w:history="true" r:id="R5fa3d2622fda42c4">
        <w:r>
          <w:rPr>
            <w:rStyle w:val="Hyperlink"/>
            <w:rFonts w:ascii="Verdana" w:hAnsi="Verdana" w:eastAsia="Verdana" w:cs="Verdana"/>
            <w:color w:val="337ab7"/>
            <w:sz w:val="22"/>
          </w:rPr>
          <w:t xml:space="preserve">https://pravno-informacioni-sistem.rs</w:t>
        </w:r>
      </w:hyperlink>
    </w:p>
    <w:p>
      <w:pPr>
        <w:spacing w:before="0" w:line="210" w:lineRule="atLeast"/>
        <w:ind w:left="0" w:right="0"/>
      </w:pPr>
      <w:r>
        <w:rPr>
          <w:rFonts w:ascii="Verdana" w:hAnsi="Verdana" w:eastAsia="Verdana" w:cs="Verdana"/>
          <w:color w:val="000000"/>
          <w:sz w:val="22"/>
        </w:rPr>
        <w:t xml:space="preserve">Службени гласник РС 92/2026, Датум: 25.9.2026.</w:t>
      </w:r>
    </w:p>
    <w:p>
      <w:pPr>
        <w:spacing w:before="0" w:line="210" w:lineRule="atLeast"/>
        <w:ind w:left="0" w:right="0"/>
        <w:jc w:val="center"/>
      </w:pPr>
      <w:r>
        <w:rPr>
          <w:rFonts w:ascii="Verdana" w:hAnsi="Verdana" w:eastAsia="Verdana" w:cs="Verdana"/>
          <w:b/>
          <w:sz w:val="22"/>
        </w:rPr>
        <w:t xml:space="preserve">3806</w:t>
      </w:r>
    </w:p>
    <w:p>
      <w:pPr>
        <w:spacing w:before="0" w:line="210" w:lineRule="atLeast"/>
        <w:ind w:left="0" w:right="0"/>
      </w:pPr>
      <w:r>
        <w:rPr>
          <w:rFonts w:ascii="Verdana" w:hAnsi="Verdana" w:eastAsia="Verdana" w:cs="Verdana"/>
          <w:sz w:val="22"/>
        </w:rPr>
        <w:t xml:space="preserve">На основу члана 77в став 5. Закона о дувану („Службени гласник РС”, бр. 101/05, 90/07, 95/10, 36/11, 93/12, 108/13, 95/18, 91/19 и 92/23), </w:t>
      </w:r>
    </w:p>
    <w:p>
      <w:pPr>
        <w:spacing w:before="0" w:line="210" w:lineRule="atLeast"/>
        <w:ind w:left="0" w:right="0"/>
      </w:pPr>
      <w:r>
        <w:rPr>
          <w:rFonts w:ascii="Verdana" w:hAnsi="Verdana" w:eastAsia="Verdana" w:cs="Verdana"/>
          <w:sz w:val="22"/>
        </w:rPr>
        <w:t xml:space="preserve">Министар здравља доноси</w:t>
      </w:r>
    </w:p>
    <w:p>
      <w:pPr>
        <w:spacing w:before="0" w:line="210" w:lineRule="atLeast"/>
        <w:ind w:left="0" w:right="0"/>
        <w:jc w:val="center"/>
      </w:pPr>
      <w:r>
        <w:rPr>
          <w:rFonts w:ascii="Verdana" w:hAnsi="Verdana" w:eastAsia="Verdana" w:cs="Verdana"/>
          <w:b/>
          <w:sz w:val="22"/>
        </w:rPr>
        <w:t xml:space="preserve">ПРАВИЛНИК</w:t>
      </w:r>
    </w:p>
    <w:p>
      <w:pPr>
        <w:spacing w:before="0" w:line="210" w:lineRule="atLeast"/>
        <w:ind w:left="0" w:right="0"/>
        <w:jc w:val="center"/>
      </w:pPr>
      <w:r>
        <w:rPr>
          <w:rFonts w:ascii="Verdana" w:hAnsi="Verdana" w:eastAsia="Verdana" w:cs="Verdana"/>
          <w:b/>
          <w:sz w:val="22"/>
        </w:rPr>
        <w:t xml:space="preserve">о положају, дизајну, облику и садржају комбинованих здравствених упозорења на дуванским производима</w:t>
      </w:r>
    </w:p>
    <w:p>
      <w:pPr>
        <w:spacing w:before="0" w:line="210" w:lineRule="atLeast"/>
        <w:ind w:left="0" w:right="0"/>
        <w:jc w:val="center"/>
      </w:pPr>
      <w:r>
        <w:rPr>
          <w:rFonts w:ascii="Verdana" w:hAnsi="Verdana" w:eastAsia="Verdana" w:cs="Verdana"/>
          <w:b/>
          <w:sz w:val="22"/>
        </w:rPr>
        <w:t xml:space="preserve">Предмет</w:t>
      </w:r>
    </w:p>
    <w:p>
      <w:pPr>
        <w:spacing w:before="0" w:line="210" w:lineRule="atLeast"/>
        <w:ind w:left="0" w:right="0"/>
        <w:jc w:val="center"/>
      </w:pPr>
      <w:r>
        <w:rPr>
          <w:rFonts w:ascii="Verdana" w:hAnsi="Verdana" w:eastAsia="Verdana" w:cs="Verdana"/>
          <w:sz w:val="22"/>
        </w:rPr>
        <w:t xml:space="preserve">Члан 1.</w:t>
      </w:r>
    </w:p>
    <w:p>
      <w:pPr>
        <w:spacing w:before="0" w:line="210" w:lineRule="atLeast"/>
        <w:ind w:left="0" w:right="0"/>
      </w:pPr>
      <w:r>
        <w:rPr>
          <w:rFonts w:ascii="Verdana" w:hAnsi="Verdana" w:eastAsia="Verdana" w:cs="Verdana"/>
          <w:sz w:val="22"/>
        </w:rPr>
        <w:t xml:space="preserve">Овим правилником прописује се положај, дизајн и облик комбинованих здравствених упозорења, садржај текстуалних упозорења, збирка фотографија у боји, као и друга питања од значаја за истицање комбинованих здравствених упозорења на дуванским производима из члана 2. тачка 3) подтач. (1)–(3) Закона о дувану.</w:t>
      </w:r>
    </w:p>
    <w:p>
      <w:pPr>
        <w:spacing w:before="0" w:line="210" w:lineRule="atLeast"/>
        <w:ind w:left="0" w:right="0"/>
        <w:jc w:val="center"/>
      </w:pPr>
      <w:r>
        <w:rPr>
          <w:rFonts w:ascii="Verdana" w:hAnsi="Verdana" w:eastAsia="Verdana" w:cs="Verdana"/>
          <w:b/>
          <w:sz w:val="22"/>
        </w:rPr>
        <w:t xml:space="preserve">Текстуална упозорења и информација о престанку пушења</w:t>
      </w:r>
    </w:p>
    <w:p>
      <w:pPr>
        <w:spacing w:before="0" w:line="210" w:lineRule="atLeast"/>
        <w:ind w:left="0" w:right="0"/>
        <w:jc w:val="center"/>
      </w:pPr>
      <w:r>
        <w:rPr>
          <w:rFonts w:ascii="Verdana" w:hAnsi="Verdana" w:eastAsia="Verdana" w:cs="Verdana"/>
          <w:sz w:val="22"/>
        </w:rPr>
        <w:t xml:space="preserve">Члан 2.</w:t>
      </w:r>
    </w:p>
    <w:p>
      <w:pPr>
        <w:spacing w:before="0" w:line="210" w:lineRule="atLeast"/>
        <w:ind w:left="0" w:right="0"/>
      </w:pPr>
      <w:r>
        <w:rPr>
          <w:rFonts w:ascii="Verdana" w:hAnsi="Verdana" w:eastAsia="Verdana" w:cs="Verdana"/>
          <w:sz w:val="22"/>
        </w:rPr>
        <w:t xml:space="preserve">Текстуално упозорење, које се користи са одговарајућом фотографијом у боји из Прилога 2. овог правилника, гласи:</w:t>
      </w:r>
    </w:p>
    <w:p>
      <w:pPr>
        <w:spacing w:before="0" w:line="210" w:lineRule="atLeast"/>
        <w:ind w:left="0" w:right="0"/>
      </w:pPr>
      <w:r>
        <w:rPr>
          <w:rFonts w:ascii="Verdana" w:hAnsi="Verdana" w:eastAsia="Verdana" w:cs="Verdana"/>
          <w:sz w:val="22"/>
        </w:rPr>
        <w:t xml:space="preserve">1) Пушење изазива 9 од 10 случајева рака плућа.</w:t>
      </w:r>
    </w:p>
    <w:p>
      <w:pPr>
        <w:spacing w:before="0" w:line="210" w:lineRule="atLeast"/>
        <w:ind w:left="0" w:right="0"/>
      </w:pPr>
      <w:r>
        <w:rPr>
          <w:rFonts w:ascii="Verdana" w:hAnsi="Verdana" w:eastAsia="Verdana" w:cs="Verdana"/>
          <w:sz w:val="22"/>
        </w:rPr>
        <w:t xml:space="preserve">2) Пушење изазива рак уста и грла.</w:t>
      </w:r>
    </w:p>
    <w:p>
      <w:pPr>
        <w:spacing w:before="0" w:line="210" w:lineRule="atLeast"/>
        <w:ind w:left="0" w:right="0"/>
      </w:pPr>
      <w:r>
        <w:rPr>
          <w:rFonts w:ascii="Verdana" w:hAnsi="Verdana" w:eastAsia="Verdana" w:cs="Verdana"/>
          <w:sz w:val="22"/>
        </w:rPr>
        <w:t xml:space="preserve">3) Пушење оштећује ваша плућа.</w:t>
      </w:r>
    </w:p>
    <w:p>
      <w:pPr>
        <w:spacing w:before="0" w:line="210" w:lineRule="atLeast"/>
        <w:ind w:left="0" w:right="0"/>
      </w:pPr>
      <w:r>
        <w:rPr>
          <w:rFonts w:ascii="Verdana" w:hAnsi="Verdana" w:eastAsia="Verdana" w:cs="Verdana"/>
          <w:sz w:val="22"/>
        </w:rPr>
        <w:t xml:space="preserve">4) Пушење изазива срчанe ударe.</w:t>
      </w:r>
    </w:p>
    <w:p>
      <w:pPr>
        <w:spacing w:before="0" w:line="210" w:lineRule="atLeast"/>
        <w:ind w:left="0" w:right="0"/>
      </w:pPr>
      <w:r>
        <w:rPr>
          <w:rFonts w:ascii="Verdana" w:hAnsi="Verdana" w:eastAsia="Verdana" w:cs="Verdana"/>
          <w:sz w:val="22"/>
        </w:rPr>
        <w:t xml:space="preserve">5) Пушење изазива можданe ударe и инвалидитет.</w:t>
      </w:r>
    </w:p>
    <w:p>
      <w:pPr>
        <w:spacing w:before="0" w:line="210" w:lineRule="atLeast"/>
        <w:ind w:left="0" w:right="0"/>
      </w:pPr>
      <w:r>
        <w:rPr>
          <w:rFonts w:ascii="Verdana" w:hAnsi="Verdana" w:eastAsia="Verdana" w:cs="Verdana"/>
          <w:sz w:val="22"/>
        </w:rPr>
        <w:t xml:space="preserve">6) Пушење оштећује ваше артерије. </w:t>
      </w:r>
    </w:p>
    <w:p>
      <w:pPr>
        <w:spacing w:before="0" w:line="210" w:lineRule="atLeast"/>
        <w:ind w:left="0" w:right="0"/>
      </w:pPr>
      <w:r>
        <w:rPr>
          <w:rFonts w:ascii="Verdana" w:hAnsi="Verdana" w:eastAsia="Verdana" w:cs="Verdana"/>
          <w:sz w:val="22"/>
        </w:rPr>
        <w:t xml:space="preserve">7) Пушење повећава ризик од слепила.</w:t>
      </w:r>
    </w:p>
    <w:p>
      <w:pPr>
        <w:spacing w:before="0" w:line="210" w:lineRule="atLeast"/>
        <w:ind w:left="0" w:right="0"/>
      </w:pPr>
      <w:r>
        <w:rPr>
          <w:rFonts w:ascii="Verdana" w:hAnsi="Verdana" w:eastAsia="Verdana" w:cs="Verdana"/>
          <w:sz w:val="22"/>
        </w:rPr>
        <w:t xml:space="preserve">8) Пушење оштећује ваше зубе и десни.</w:t>
      </w:r>
    </w:p>
    <w:p>
      <w:pPr>
        <w:spacing w:before="0" w:line="210" w:lineRule="atLeast"/>
        <w:ind w:left="0" w:right="0"/>
      </w:pPr>
      <w:r>
        <w:rPr>
          <w:rFonts w:ascii="Verdana" w:hAnsi="Verdana" w:eastAsia="Verdana" w:cs="Verdana"/>
          <w:sz w:val="22"/>
        </w:rPr>
        <w:t xml:space="preserve">9) Пушење може да убије ваше нерођено дете.</w:t>
      </w:r>
    </w:p>
    <w:p>
      <w:pPr>
        <w:spacing w:before="0" w:line="210" w:lineRule="atLeast"/>
        <w:ind w:left="0" w:right="0"/>
      </w:pPr>
      <w:r>
        <w:rPr>
          <w:rFonts w:ascii="Verdana" w:hAnsi="Verdana" w:eastAsia="Verdana" w:cs="Verdana"/>
          <w:sz w:val="22"/>
        </w:rPr>
        <w:t xml:space="preserve">10) Дувански дим штети вашој деци, породици и пријатељима.</w:t>
      </w:r>
    </w:p>
    <w:p>
      <w:pPr>
        <w:spacing w:before="0" w:line="210" w:lineRule="atLeast"/>
        <w:ind w:left="0" w:right="0"/>
      </w:pPr>
      <w:r>
        <w:rPr>
          <w:rFonts w:ascii="Verdana" w:hAnsi="Verdana" w:eastAsia="Verdana" w:cs="Verdana"/>
          <w:sz w:val="22"/>
        </w:rPr>
        <w:t xml:space="preserve">11) Деца пушача су у већем ризику да постану пушачи.</w:t>
      </w:r>
    </w:p>
    <w:p>
      <w:pPr>
        <w:spacing w:before="0" w:line="210" w:lineRule="atLeast"/>
        <w:ind w:left="0" w:right="0"/>
      </w:pPr>
      <w:r>
        <w:rPr>
          <w:rFonts w:ascii="Verdana" w:hAnsi="Verdana" w:eastAsia="Verdana" w:cs="Verdana"/>
          <w:sz w:val="22"/>
        </w:rPr>
        <w:t xml:space="preserve">12) Престаните да пушите – останите живи због оних који су вам блиски.</w:t>
      </w:r>
    </w:p>
    <w:p>
      <w:pPr>
        <w:spacing w:before="0" w:line="210" w:lineRule="atLeast"/>
        <w:ind w:left="0" w:right="0"/>
      </w:pPr>
      <w:r>
        <w:rPr>
          <w:rFonts w:ascii="Verdana" w:hAnsi="Verdana" w:eastAsia="Verdana" w:cs="Verdana"/>
          <w:sz w:val="22"/>
        </w:rPr>
        <w:t xml:space="preserve">13) Пушење смањује плодност.</w:t>
      </w:r>
    </w:p>
    <w:p>
      <w:pPr>
        <w:spacing w:before="0" w:line="210" w:lineRule="atLeast"/>
        <w:ind w:left="0" w:right="0"/>
      </w:pPr>
      <w:r>
        <w:rPr>
          <w:rFonts w:ascii="Verdana" w:hAnsi="Verdana" w:eastAsia="Verdana" w:cs="Verdana"/>
          <w:sz w:val="22"/>
        </w:rPr>
        <w:t xml:space="preserve">14) Пушење повећава ризик од импотенције.</w:t>
      </w:r>
    </w:p>
    <w:p>
      <w:pPr>
        <w:spacing w:before="0" w:line="210" w:lineRule="atLeast"/>
        <w:ind w:left="0" w:right="0"/>
      </w:pPr>
      <w:r>
        <w:rPr>
          <w:rFonts w:ascii="Verdana" w:hAnsi="Verdana" w:eastAsia="Verdana" w:cs="Verdana"/>
          <w:sz w:val="22"/>
        </w:rPr>
        <w:t xml:space="preserve">Информација о престанку пушења садржи број телефона и интернет страницу за информисање корисника о доступним програмима помоћи лицима која желе да престану да пуше.</w:t>
      </w:r>
    </w:p>
    <w:p>
      <w:pPr>
        <w:spacing w:before="0" w:line="210" w:lineRule="atLeast"/>
        <w:ind w:left="0" w:right="0"/>
      </w:pPr>
      <w:r>
        <w:rPr>
          <w:rFonts w:ascii="Verdana" w:hAnsi="Verdana" w:eastAsia="Verdana" w:cs="Verdana"/>
          <w:sz w:val="22"/>
        </w:rPr>
        <w:t xml:space="preserve">Информација из става 2. овог члана гласи: „За помоћ код престанка пушења: 080 020 0002 и www.ostavipusеnje.rs.</w:t>
      </w:r>
    </w:p>
    <w:p>
      <w:pPr>
        <w:spacing w:before="0" w:line="210" w:lineRule="atLeast"/>
        <w:ind w:left="0" w:right="0"/>
        <w:jc w:val="center"/>
      </w:pPr>
      <w:r>
        <w:rPr>
          <w:rFonts w:ascii="Verdana" w:hAnsi="Verdana" w:eastAsia="Verdana" w:cs="Verdana"/>
          <w:b/>
          <w:sz w:val="22"/>
        </w:rPr>
        <w:t xml:space="preserve">Положај и облик комбинованог здравственог упозорења</w:t>
      </w:r>
    </w:p>
    <w:p>
      <w:pPr>
        <w:spacing w:before="0" w:line="210" w:lineRule="atLeast"/>
        <w:ind w:left="0" w:right="0"/>
        <w:jc w:val="center"/>
      </w:pPr>
      <w:r>
        <w:rPr>
          <w:rFonts w:ascii="Verdana" w:hAnsi="Verdana" w:eastAsia="Verdana" w:cs="Verdana"/>
          <w:sz w:val="22"/>
        </w:rPr>
        <w:t xml:space="preserve">Члан 3.</w:t>
      </w:r>
    </w:p>
    <w:p>
      <w:pPr>
        <w:spacing w:before="0" w:line="210" w:lineRule="atLeast"/>
        <w:ind w:left="0" w:right="0"/>
      </w:pPr>
      <w:r>
        <w:rPr>
          <w:rFonts w:ascii="Verdana" w:hAnsi="Verdana" w:eastAsia="Verdana" w:cs="Verdana"/>
          <w:sz w:val="22"/>
        </w:rPr>
        <w:t xml:space="preserve">Комбинована здравствена упозорења деле се у три групе, на начин приказан у Прилогу 3. овог правилника и свака група се користи у датој години и ротира на годишњем нивоу, при чему прва ротација започиње 1. јуна 2027. године. Свако упозорење у датој години треба да буде приказано, колико је то могуће, једнаки број пута на свакој робној марки дуванских производа.</w:t>
      </w:r>
    </w:p>
    <w:p>
      <w:pPr>
        <w:spacing w:before="0" w:line="210" w:lineRule="atLeast"/>
        <w:ind w:left="0" w:right="0"/>
      </w:pPr>
      <w:r>
        <w:rPr>
          <w:rFonts w:ascii="Verdana" w:hAnsi="Verdana" w:eastAsia="Verdana" w:cs="Verdana"/>
          <w:sz w:val="22"/>
        </w:rPr>
        <w:t xml:space="preserve">Ако је висина комбинованог здравственог упозорења већа од 70% његове ширине, произвођачи и увозници дуванских производа дужни су да комбинована здравствена упозорења прикажу у усправном (вертикалном) формату, на начин приказан у Прилогу 1а овог правилника.</w:t>
      </w:r>
    </w:p>
    <w:p>
      <w:pPr>
        <w:spacing w:before="0" w:line="210" w:lineRule="atLeast"/>
        <w:ind w:left="0" w:right="0"/>
      </w:pPr>
      <w:r>
        <w:rPr>
          <w:rFonts w:ascii="Verdana" w:hAnsi="Verdana" w:eastAsia="Verdana" w:cs="Verdana"/>
          <w:sz w:val="22"/>
        </w:rPr>
        <w:t xml:space="preserve">Ако је висина комбинованог здравственог упозорења већа од 20%, али мања од 65% његове ширине, произвођачи и увозници дуванских производа дужни су да комбинована здравствена упозорења прикажу у паралелном (хоризонталном) формату, на начин приказан у Прилогу 1б овог правилника.</w:t>
      </w:r>
    </w:p>
    <w:p>
      <w:pPr>
        <w:spacing w:before="0" w:line="210" w:lineRule="atLeast"/>
        <w:ind w:left="0" w:right="0"/>
      </w:pPr>
      <w:r>
        <w:rPr>
          <w:rFonts w:ascii="Verdana" w:hAnsi="Verdana" w:eastAsia="Verdana" w:cs="Verdana"/>
          <w:sz w:val="22"/>
        </w:rPr>
        <w:t xml:space="preserve">Ако је висина комбинованог здравственог упозорења већа од или једнака 65%, али мања од или једнака 70% његове ширине, произвођачи и увозници дуванских производа могу изабрати да ли ће користити усправни (вертикални) или паралелни (хоризонтални) формат, под условом да сви елементи комбинованог здравственог упозорења остану у потпуности видљиви и неискривљени.</w:t>
      </w:r>
    </w:p>
    <w:p>
      <w:pPr>
        <w:spacing w:before="0" w:line="210" w:lineRule="atLeast"/>
        <w:ind w:left="0" w:right="0"/>
      </w:pPr>
      <w:r>
        <w:rPr>
          <w:rFonts w:ascii="Verdana" w:hAnsi="Verdana" w:eastAsia="Verdana" w:cs="Verdana"/>
          <w:sz w:val="22"/>
        </w:rPr>
        <w:t xml:space="preserve">Ако се користи усправни (вертикални) формат, фотографија се поставља на врху комбинованог здравственог упозорења, а текстуално упозорење и информација о престанку пушења постављају се испод фотографије, на начин приказан у Прилогу 1а овог правилника, при чему фотографија заузима 50%, текстуално упозорење 38%, а информација о престанку пушења 12% површине комбинованог здравственог упозорења унутар спољашње црне ивице.</w:t>
      </w:r>
    </w:p>
    <w:p>
      <w:pPr>
        <w:spacing w:before="0" w:line="210" w:lineRule="atLeast"/>
        <w:ind w:left="0" w:right="0"/>
      </w:pPr>
      <w:r>
        <w:rPr>
          <w:rFonts w:ascii="Verdana" w:hAnsi="Verdana" w:eastAsia="Verdana" w:cs="Verdana"/>
          <w:sz w:val="22"/>
        </w:rPr>
        <w:t xml:space="preserve">Ако се користи паралелни (хоризонтални) формат, фотографија се поставља на левој половини комбинованог здравственог упозорења, а текстуално упозорење у горњем десном углу, док се информација о престанку пушења налази у доњем десном углу, на начин приказан у Прилогу 1б овог правилника, при чему фотографија заузима 50%, текстуално упозорење 40%, а информација о престанку пушења 10% површине комбинованог здравственог упозорења унутар спољашње црне ивице.</w:t>
      </w:r>
    </w:p>
    <w:p>
      <w:pPr>
        <w:spacing w:before="0" w:line="210" w:lineRule="atLeast"/>
        <w:ind w:left="0" w:right="0"/>
      </w:pPr>
      <w:r>
        <w:rPr>
          <w:rFonts w:ascii="Verdana" w:hAnsi="Verdana" w:eastAsia="Verdana" w:cs="Verdana"/>
          <w:sz w:val="22"/>
        </w:rPr>
        <w:t xml:space="preserve">Ако је, због облика појединачног или групног паковања, висина комбинованог здравственог упозорења мања од или једнака 20% његове ширине, комбиновано здравствено упозорење приказује се у паралелном (хоризонталном) посебно широком формату, на начин приказан у Прилогу 1в овог правилника, при чему фотографија заузима 35%, текстуално упозорење 50%, а информација о престанку пушења 15% површине комбинованог здравственог упозорења унутар спољашње црне ивице.</w:t>
      </w:r>
    </w:p>
    <w:p>
      <w:pPr>
        <w:spacing w:before="0" w:line="210" w:lineRule="atLeast"/>
        <w:ind w:left="0" w:right="0"/>
      </w:pPr>
      <w:r>
        <w:rPr>
          <w:rFonts w:ascii="Verdana" w:hAnsi="Verdana" w:eastAsia="Verdana" w:cs="Verdana"/>
          <w:sz w:val="22"/>
        </w:rPr>
        <w:t xml:space="preserve">Ако је облик појединичног паковања такав да су му ивице заобљене односно косе, површина ивица се урачунава у површину стране појединачног паковања на којој се налазе комбинована здравствена упозорења, при чему се комбиновано здравствено упозорење поставља тако да прелази преко заобљених односно косих ивица, на начин да се обезбеди да текстуално упозорење и информација о престанку пушења остану на већој страни појединичног паковања.</w:t>
      </w:r>
    </w:p>
    <w:p>
      <w:pPr>
        <w:spacing w:before="0" w:line="210" w:lineRule="atLeast"/>
        <w:ind w:left="0" w:right="0"/>
      </w:pPr>
      <w:r>
        <w:rPr>
          <w:rFonts w:ascii="Verdana" w:hAnsi="Verdana" w:eastAsia="Verdana" w:cs="Verdana"/>
          <w:sz w:val="22"/>
        </w:rPr>
        <w:t xml:space="preserve">Површина страница на којима се налази опште упозорење и информативна порука на појединачном паковању са заобљеним односно косим ивицама из става 8. овог члана, рачуна се не узимајући у обзир површину заобљених односно косих ивица.</w:t>
      </w:r>
    </w:p>
    <w:p>
      <w:pPr>
        <w:spacing w:before="0" w:line="210" w:lineRule="atLeast"/>
        <w:ind w:left="0" w:right="0"/>
        <w:jc w:val="center"/>
      </w:pPr>
      <w:r>
        <w:rPr>
          <w:rFonts w:ascii="Verdana" w:hAnsi="Verdana" w:eastAsia="Verdana" w:cs="Verdana"/>
          <w:b/>
          <w:sz w:val="22"/>
        </w:rPr>
        <w:t xml:space="preserve">Дизајн комбинованог здравственог упозорења</w:t>
      </w:r>
    </w:p>
    <w:p>
      <w:pPr>
        <w:spacing w:before="0" w:line="210" w:lineRule="atLeast"/>
        <w:ind w:left="0" w:right="0"/>
        <w:jc w:val="center"/>
      </w:pPr>
      <w:r>
        <w:rPr>
          <w:rFonts w:ascii="Verdana" w:hAnsi="Verdana" w:eastAsia="Verdana" w:cs="Verdana"/>
          <w:sz w:val="22"/>
        </w:rPr>
        <w:t xml:space="preserve">Члан 4.</w:t>
      </w:r>
    </w:p>
    <w:p>
      <w:pPr>
        <w:spacing w:before="0" w:line="210" w:lineRule="atLeast"/>
        <w:ind w:left="0" w:right="0"/>
      </w:pPr>
      <w:r>
        <w:rPr>
          <w:rFonts w:ascii="Verdana" w:hAnsi="Verdana" w:eastAsia="Verdana" w:cs="Verdana"/>
          <w:sz w:val="22"/>
        </w:rPr>
        <w:t xml:space="preserve">Комбиновано здравствено упозорење штампа се у четири боје (CMYK).</w:t>
      </w:r>
    </w:p>
    <w:p>
      <w:pPr>
        <w:spacing w:before="0" w:line="210" w:lineRule="atLeast"/>
        <w:ind w:left="0" w:right="0"/>
      </w:pPr>
      <w:r>
        <w:rPr>
          <w:rFonts w:ascii="Verdana" w:hAnsi="Verdana" w:eastAsia="Verdana" w:cs="Verdana"/>
          <w:sz w:val="22"/>
        </w:rPr>
        <w:t xml:space="preserve">Сви елементи у црној боји имају вредности: C0, M0, Y0 и K100.</w:t>
      </w:r>
    </w:p>
    <w:p>
      <w:pPr>
        <w:spacing w:before="0" w:line="210" w:lineRule="atLeast"/>
        <w:ind w:left="0" w:right="0"/>
      </w:pPr>
      <w:r>
        <w:rPr>
          <w:rFonts w:ascii="Verdana" w:hAnsi="Verdana" w:eastAsia="Verdana" w:cs="Verdana"/>
          <w:sz w:val="22"/>
        </w:rPr>
        <w:t xml:space="preserve">Елементи у топло жутој боји имају вредности: C0, M10, Y100 и K0.</w:t>
      </w:r>
    </w:p>
    <w:p>
      <w:pPr>
        <w:spacing w:before="0" w:line="210" w:lineRule="atLeast"/>
        <w:ind w:left="0" w:right="0"/>
      </w:pPr>
      <w:r>
        <w:rPr>
          <w:rFonts w:ascii="Verdana" w:hAnsi="Verdana" w:eastAsia="Verdana" w:cs="Verdana"/>
          <w:sz w:val="22"/>
        </w:rPr>
        <w:t xml:space="preserve">Комбиновано здравствено упозорење мора бити приказано у минималној резолуцији од 300 тачака по инчу (dpi) када је утиснуто у стварној величини.</w:t>
      </w:r>
    </w:p>
    <w:p>
      <w:pPr>
        <w:spacing w:before="0" w:line="210" w:lineRule="atLeast"/>
        <w:ind w:left="0" w:right="0"/>
      </w:pPr>
      <w:r>
        <w:rPr>
          <w:rFonts w:ascii="Verdana" w:hAnsi="Verdana" w:eastAsia="Verdana" w:cs="Verdana"/>
          <w:sz w:val="22"/>
        </w:rPr>
        <w:t xml:space="preserve">Текстуално упозорење штампа се белом бојом на црној позадини.</w:t>
      </w:r>
    </w:p>
    <w:p>
      <w:pPr>
        <w:spacing w:before="0" w:line="210" w:lineRule="atLeast"/>
        <w:ind w:left="0" w:right="0"/>
      </w:pPr>
      <w:r>
        <w:rPr>
          <w:rFonts w:ascii="Verdana" w:hAnsi="Verdana" w:eastAsia="Verdana" w:cs="Verdana"/>
          <w:sz w:val="22"/>
        </w:rPr>
        <w:t xml:space="preserve">Информације о престанку пушења штампају се црном бојом на топло жутој позадини, на начин приказан у Прилогу 1а-1г овог правилника.</w:t>
      </w:r>
    </w:p>
    <w:p>
      <w:pPr>
        <w:spacing w:before="0" w:line="210" w:lineRule="atLeast"/>
        <w:ind w:left="0" w:right="0"/>
      </w:pPr>
      <w:r>
        <w:rPr>
          <w:rFonts w:ascii="Verdana" w:hAnsi="Verdana" w:eastAsia="Verdana" w:cs="Verdana"/>
          <w:sz w:val="22"/>
        </w:rPr>
        <w:t xml:space="preserve">У случају коришћења паралелног (хоризонталног) формата, усправног (вертикалног) формата са обрнутим распоредом или паралелног (хоризонталног) посебно широког формата, у оквиру површине за приказ информација о престанку пушења штампа се црни оквир ширине 1 mm, постављен између информација о престанку пушења и фотографије.</w:t>
      </w:r>
    </w:p>
    <w:p>
      <w:pPr>
        <w:spacing w:before="0" w:line="210" w:lineRule="atLeast"/>
        <w:ind w:left="0" w:right="0"/>
      </w:pPr>
      <w:r>
        <w:rPr>
          <w:rFonts w:ascii="Verdana" w:hAnsi="Verdana" w:eastAsia="Verdana" w:cs="Verdana"/>
          <w:sz w:val="22"/>
        </w:rPr>
        <w:t xml:space="preserve">Произвођачи и увозници дуванских производа дужни су да обезбеде следеће у вези са фотографијом:</w:t>
      </w:r>
    </w:p>
    <w:p>
      <w:pPr>
        <w:spacing w:before="0" w:line="210" w:lineRule="atLeast"/>
        <w:ind w:left="0" w:right="0"/>
      </w:pPr>
      <w:r>
        <w:rPr>
          <w:rFonts w:ascii="Verdana" w:hAnsi="Verdana" w:eastAsia="Verdana" w:cs="Verdana"/>
          <w:sz w:val="22"/>
        </w:rPr>
        <w:t xml:space="preserve">1) да је приказана без примене посебних ефеката, прилагођавања боја, ретуширања или проширења позадине;</w:t>
      </w:r>
    </w:p>
    <w:p>
      <w:pPr>
        <w:spacing w:before="0" w:line="210" w:lineRule="atLeast"/>
        <w:ind w:left="0" w:right="0"/>
      </w:pPr>
      <w:r>
        <w:rPr>
          <w:rFonts w:ascii="Verdana" w:hAnsi="Verdana" w:eastAsia="Verdana" w:cs="Verdana"/>
          <w:sz w:val="22"/>
        </w:rPr>
        <w:t xml:space="preserve">2) да није исечена превише близу нити предалеко од средишње тачке слике;</w:t>
      </w:r>
    </w:p>
    <w:p>
      <w:pPr>
        <w:spacing w:before="0" w:line="210" w:lineRule="atLeast"/>
        <w:ind w:left="0" w:right="0"/>
      </w:pPr>
      <w:r>
        <w:rPr>
          <w:rFonts w:ascii="Verdana" w:hAnsi="Verdana" w:eastAsia="Verdana" w:cs="Verdana"/>
          <w:sz w:val="22"/>
        </w:rPr>
        <w:t xml:space="preserve">3) да је пропорционалних димензија, без изобличавања фотографије.</w:t>
      </w:r>
    </w:p>
    <w:p>
      <w:pPr>
        <w:spacing w:before="0" w:line="210" w:lineRule="atLeast"/>
        <w:ind w:left="0" w:right="0"/>
      </w:pPr>
      <w:r>
        <w:rPr>
          <w:rFonts w:ascii="Verdana" w:hAnsi="Verdana" w:eastAsia="Verdana" w:cs="Verdana"/>
          <w:sz w:val="22"/>
        </w:rPr>
        <w:t xml:space="preserve">Произвођачи и увозници дуванских производа дужни су да обезбеде следеће у вези са текстуалним упозорењем и информацијама о престанку пушења:</w:t>
      </w:r>
    </w:p>
    <w:p>
      <w:pPr>
        <w:spacing w:before="0" w:line="210" w:lineRule="atLeast"/>
        <w:ind w:left="0" w:right="0"/>
      </w:pPr>
      <w:r>
        <w:rPr>
          <w:rFonts w:ascii="Verdana" w:hAnsi="Verdana" w:eastAsia="Verdana" w:cs="Verdana"/>
          <w:sz w:val="22"/>
        </w:rPr>
        <w:t xml:space="preserve">1) да су поравнати лево и центрирани вертикално;</w:t>
      </w:r>
    </w:p>
    <w:p>
      <w:pPr>
        <w:spacing w:before="0" w:line="210" w:lineRule="atLeast"/>
        <w:ind w:left="0" w:right="0"/>
      </w:pPr>
      <w:r>
        <w:rPr>
          <w:rFonts w:ascii="Verdana" w:hAnsi="Verdana" w:eastAsia="Verdana" w:cs="Verdana"/>
          <w:sz w:val="22"/>
        </w:rPr>
        <w:t xml:space="preserve">2) да су штампани болдованим словима фонта Neue Frutiger Condensed Bold;</w:t>
      </w:r>
    </w:p>
    <w:p>
      <w:pPr>
        <w:spacing w:before="0" w:line="210" w:lineRule="atLeast"/>
        <w:ind w:left="0" w:right="0"/>
      </w:pPr>
      <w:r>
        <w:rPr>
          <w:rFonts w:ascii="Verdana" w:hAnsi="Verdana" w:eastAsia="Verdana" w:cs="Verdana"/>
          <w:sz w:val="22"/>
        </w:rPr>
        <w:t xml:space="preserve">3) да је текстуално упозорење штампано једнаком величином слова;</w:t>
      </w:r>
    </w:p>
    <w:p>
      <w:pPr>
        <w:spacing w:before="0" w:line="210" w:lineRule="atLeast"/>
        <w:ind w:left="0" w:right="0"/>
      </w:pPr>
      <w:r>
        <w:rPr>
          <w:rFonts w:ascii="Verdana" w:hAnsi="Verdana" w:eastAsia="Verdana" w:cs="Verdana"/>
          <w:sz w:val="22"/>
        </w:rPr>
        <w:t xml:space="preserve">4) да је величина слова највећа могућа ради обезбеђења највеће видљивости;</w:t>
      </w:r>
    </w:p>
    <w:p>
      <w:pPr>
        <w:spacing w:before="0" w:line="210" w:lineRule="atLeast"/>
        <w:ind w:left="0" w:right="0"/>
      </w:pPr>
      <w:r>
        <w:rPr>
          <w:rFonts w:ascii="Verdana" w:hAnsi="Verdana" w:eastAsia="Verdana" w:cs="Verdana"/>
          <w:sz w:val="22"/>
        </w:rPr>
        <w:t xml:space="preserve">5) да најмања величина слова текстуалног упозорења износи 6 pt, а информације о престанку пушења 5 pt;</w:t>
      </w:r>
    </w:p>
    <w:p>
      <w:pPr>
        <w:spacing w:before="0" w:line="210" w:lineRule="atLeast"/>
        <w:ind w:left="0" w:right="0"/>
      </w:pPr>
      <w:r>
        <w:rPr>
          <w:rFonts w:ascii="Verdana" w:hAnsi="Verdana" w:eastAsia="Verdana" w:cs="Verdana"/>
          <w:sz w:val="22"/>
        </w:rPr>
        <w:t xml:space="preserve">6) да је размак између редова за 2 pt већи од величине слова текстуалног упозорења, а за 1 до 2 pt већи од величине слова информације о престанку пушења;</w:t>
      </w:r>
    </w:p>
    <w:p>
      <w:pPr>
        <w:spacing w:before="0" w:line="210" w:lineRule="atLeast"/>
        <w:ind w:left="0" w:right="0"/>
      </w:pPr>
      <w:r>
        <w:rPr>
          <w:rFonts w:ascii="Verdana" w:hAnsi="Verdana" w:eastAsia="Verdana" w:cs="Verdana"/>
          <w:sz w:val="22"/>
        </w:rPr>
        <w:t xml:space="preserve">7) да је текстуално упозорење приказано у складу са чланом 2. овог правилника, укључујући употребу великих слова, али без бројчаног означавања.</w:t>
      </w:r>
    </w:p>
    <w:p>
      <w:pPr>
        <w:spacing w:before="0" w:line="210" w:lineRule="atLeast"/>
        <w:ind w:left="0" w:right="0"/>
      </w:pPr>
      <w:r>
        <w:rPr>
          <w:rFonts w:ascii="Verdana" w:hAnsi="Verdana" w:eastAsia="Verdana" w:cs="Verdana"/>
          <w:sz w:val="22"/>
        </w:rPr>
        <w:t xml:space="preserve">Изузетно од става 9. тач. 5) и 6) овог члана, произвођачи и увозници цигара, цигарилоса и дувана за лулу, могу смањити величину слова или размак између редова у текстуалном упозорењу и информацијама о престанку пушења када је то неизбежно, под условом да сви елементи комбинованог здравственог упозорења остану у потпуности видљиви.</w:t>
      </w:r>
    </w:p>
    <w:p>
      <w:pPr>
        <w:spacing w:before="0" w:line="210" w:lineRule="atLeast"/>
        <w:ind w:left="0" w:right="0"/>
        <w:jc w:val="center"/>
      </w:pPr>
      <w:r>
        <w:rPr>
          <w:rFonts w:ascii="Verdana" w:hAnsi="Verdana" w:eastAsia="Verdana" w:cs="Verdana"/>
          <w:b/>
          <w:sz w:val="22"/>
        </w:rPr>
        <w:t xml:space="preserve">Посебна правила за појединачна паковања са преклопним поклопцем</w:t>
      </w:r>
    </w:p>
    <w:p>
      <w:pPr>
        <w:spacing w:before="0" w:line="210" w:lineRule="atLeast"/>
        <w:ind w:left="0" w:right="0"/>
        <w:jc w:val="center"/>
      </w:pPr>
      <w:r>
        <w:rPr>
          <w:rFonts w:ascii="Verdana" w:hAnsi="Verdana" w:eastAsia="Verdana" w:cs="Verdana"/>
          <w:sz w:val="22"/>
        </w:rPr>
        <w:t xml:space="preserve">Члан 5.</w:t>
      </w:r>
    </w:p>
    <w:p>
      <w:pPr>
        <w:spacing w:before="0" w:line="210" w:lineRule="atLeast"/>
        <w:ind w:left="0" w:right="0"/>
      </w:pPr>
      <w:r>
        <w:rPr>
          <w:rFonts w:ascii="Verdana" w:hAnsi="Verdana" w:eastAsia="Verdana" w:cs="Verdana"/>
          <w:sz w:val="22"/>
        </w:rPr>
        <w:t xml:space="preserve">Изузетно од члана 3. став 5. овог правилника, код комбинованих здравствених упозорења која се постављају на предњу страну појединачног паковања са преклопним поклопцем, у случају када је поклопац мањи од површине предвиђене за фотографију из члана 3. став 5. овог правилника и када би због усаглашености са том одредбом дошло до раздвајања фотографије приликом отварања, примењују се следећа правила:</w:t>
      </w:r>
    </w:p>
    <w:p>
      <w:pPr>
        <w:spacing w:before="0" w:line="210" w:lineRule="atLeast"/>
        <w:ind w:left="0" w:right="0"/>
      </w:pPr>
      <w:r>
        <w:rPr>
          <w:rFonts w:ascii="Verdana" w:hAnsi="Verdana" w:eastAsia="Verdana" w:cs="Verdana"/>
          <w:sz w:val="22"/>
        </w:rPr>
        <w:t xml:space="preserve">1) текстуално упозорење налази се на врху комбинованог здравственог упозорења, са информацијама о престанку пушења и фотографијом испод њега, на начин приказан Прилогу 1г овог правилника, и</w:t>
      </w:r>
    </w:p>
    <w:p>
      <w:pPr>
        <w:spacing w:before="0" w:line="210" w:lineRule="atLeast"/>
        <w:ind w:left="0" w:right="0"/>
      </w:pPr>
      <w:r>
        <w:rPr>
          <w:rFonts w:ascii="Verdana" w:hAnsi="Verdana" w:eastAsia="Verdana" w:cs="Verdana"/>
          <w:sz w:val="22"/>
        </w:rPr>
        <w:t xml:space="preserve">2) фотографија заузима најмање 50% површине комбинованог здравственог упозорења, текстуално упозорење најмање 30%, а информације о престанку пушења најмање 10% и највише 12% површине комбинованог здравственог упозорења унутар спољашњег црног оквира;</w:t>
      </w:r>
    </w:p>
    <w:p>
      <w:pPr>
        <w:spacing w:before="0" w:line="210" w:lineRule="atLeast"/>
        <w:ind w:left="0" w:right="0"/>
      </w:pPr>
      <w:r>
        <w:rPr>
          <w:rFonts w:ascii="Verdana" w:hAnsi="Verdana" w:eastAsia="Verdana" w:cs="Verdana"/>
          <w:sz w:val="22"/>
        </w:rPr>
        <w:t xml:space="preserve">Изузетно од члана 3. став 5. овог правилника, код комбинованих здравствених упозорења која се постављају на предњу страну појединачног паковања са преклопним поклопцем, у случају када је поклопац већи од површине предвиђене за фотографију из члана 3. став 5. овог правилника и када би због усаглашености са том одредбом дошло до раздвајања текстуалног упозорења или информација о престанку пушења приликом отварања, примењују се следећа правила:</w:t>
      </w:r>
    </w:p>
    <w:p>
      <w:pPr>
        <w:spacing w:before="0" w:line="210" w:lineRule="atLeast"/>
        <w:ind w:left="0" w:right="0"/>
      </w:pPr>
      <w:r>
        <w:rPr>
          <w:rFonts w:ascii="Verdana" w:hAnsi="Verdana" w:eastAsia="Verdana" w:cs="Verdana"/>
          <w:sz w:val="22"/>
        </w:rPr>
        <w:t xml:space="preserve">1) фотографија се налази на врху комбинованог здравственог упозорења, са текстуалним упозорењем и информацијама о престанку пушења испод ње, на начин приказан у Прилогу 1а овог правилника, и</w:t>
      </w:r>
    </w:p>
    <w:p>
      <w:pPr>
        <w:spacing w:before="0" w:line="210" w:lineRule="atLeast"/>
        <w:ind w:left="0" w:right="0"/>
      </w:pPr>
      <w:r>
        <w:rPr>
          <w:rFonts w:ascii="Verdana" w:hAnsi="Verdana" w:eastAsia="Verdana" w:cs="Verdana"/>
          <w:sz w:val="22"/>
        </w:rPr>
        <w:t xml:space="preserve">2) фотографија заузима најмање 50% површине комбинованог здравственог упозорења, текстуално упозорење најмање 30%, а информације о престанку пушења најмање 10% и највише 12% површине комбинованог здравственог упозорења унутар спољашњег црног оквира.</w:t>
      </w:r>
    </w:p>
    <w:p>
      <w:pPr>
        <w:spacing w:before="0" w:line="210" w:lineRule="atLeast"/>
        <w:ind w:left="0" w:right="0"/>
      </w:pPr>
      <w:r>
        <w:rPr>
          <w:rFonts w:ascii="Verdana" w:hAnsi="Verdana" w:eastAsia="Verdana" w:cs="Verdana"/>
          <w:sz w:val="22"/>
        </w:rPr>
        <w:t xml:space="preserve">Произвођачи и увозници дуванских производа дужни су да обезбеде да ниједан од три елемента комбинованог здравственог упозорења (одговарајућа фотографија, текстуално упозорење и информација о престанку пушења) не може бити раздвојен приликом отварања појединачног паковања.</w:t>
      </w:r>
    </w:p>
    <w:p>
      <w:pPr>
        <w:spacing w:before="0" w:line="210" w:lineRule="atLeast"/>
        <w:ind w:left="0" w:right="0"/>
        <w:jc w:val="center"/>
      </w:pPr>
      <w:r>
        <w:rPr>
          <w:rFonts w:ascii="Verdana" w:hAnsi="Verdana" w:eastAsia="Verdana" w:cs="Verdana"/>
          <w:sz w:val="22"/>
        </w:rPr>
        <w:t xml:space="preserve">Члан 6.</w:t>
      </w:r>
    </w:p>
    <w:p>
      <w:pPr>
        <w:spacing w:before="0" w:line="210" w:lineRule="atLeast"/>
        <w:ind w:left="0" w:right="0"/>
      </w:pPr>
      <w:r>
        <w:rPr>
          <w:rFonts w:ascii="Verdana" w:hAnsi="Verdana" w:eastAsia="Verdana" w:cs="Verdana"/>
          <w:sz w:val="22"/>
        </w:rPr>
        <w:t xml:space="preserve">Прилози 1А, 1Б, 1В, 1Г, 2. и 3. одштампани су уз овај правилник и чине његов саставни део.</w:t>
      </w:r>
    </w:p>
    <w:p>
      <w:pPr>
        <w:spacing w:before="0" w:line="210" w:lineRule="atLeast"/>
        <w:ind w:left="0" w:right="0"/>
        <w:jc w:val="center"/>
      </w:pPr>
      <w:r>
        <w:rPr>
          <w:rFonts w:ascii="Verdana" w:hAnsi="Verdana" w:eastAsia="Verdana" w:cs="Verdana"/>
          <w:b/>
          <w:sz w:val="22"/>
        </w:rPr>
        <w:t xml:space="preserve">Ступање на снагу</w:t>
      </w:r>
    </w:p>
    <w:p>
      <w:pPr>
        <w:spacing w:before="0" w:line="210" w:lineRule="atLeast"/>
        <w:ind w:left="0" w:right="0"/>
        <w:jc w:val="center"/>
      </w:pPr>
      <w:r>
        <w:rPr>
          <w:rFonts w:ascii="Verdana" w:hAnsi="Verdana" w:eastAsia="Verdana" w:cs="Verdana"/>
          <w:sz w:val="22"/>
        </w:rPr>
        <w:t xml:space="preserve">Члан 7.</w:t>
      </w:r>
    </w:p>
    <w:p>
      <w:pPr>
        <w:spacing w:before="0" w:line="210" w:lineRule="atLeast"/>
        <w:ind w:left="0" w:right="0"/>
      </w:pPr>
      <w:r>
        <w:rPr>
          <w:rFonts w:ascii="Verdana" w:hAnsi="Verdana" w:eastAsia="Verdana" w:cs="Verdana"/>
          <w:sz w:val="22"/>
        </w:rPr>
        <w:t xml:space="preserve">Овај правилник ступа на снагу осмог дана од дана објављивања у „Службеном гласнику Републике Србије”, а примењује се од 1. јуна 2027. године.</w:t>
      </w:r>
    </w:p>
    <w:p>
      <w:pPr>
        <w:spacing w:before="0" w:line="210" w:lineRule="atLeast"/>
        <w:ind w:left="0" w:right="0"/>
        <w:jc w:val="right"/>
      </w:pPr>
      <w:r>
        <w:rPr>
          <w:rFonts w:ascii="Verdana" w:hAnsi="Verdana" w:eastAsia="Verdana" w:cs="Verdana"/>
          <w:sz w:val="22"/>
        </w:rPr>
        <w:t xml:space="preserve">Број 110-00-225/1/2025-07</w:t>
      </w:r>
    </w:p>
    <w:p>
      <w:pPr>
        <w:spacing w:before="0" w:line="210" w:lineRule="atLeast"/>
        <w:ind w:left="0" w:right="0"/>
        <w:jc w:val="right"/>
      </w:pPr>
      <w:r>
        <w:rPr>
          <w:rFonts w:ascii="Verdana" w:hAnsi="Verdana" w:eastAsia="Verdana" w:cs="Verdana"/>
          <w:sz w:val="22"/>
        </w:rPr>
        <w:t xml:space="preserve">У Београду, 7. септембра 2026. године</w:t>
      </w:r>
    </w:p>
    <w:p>
      <w:pPr>
        <w:spacing w:before="0" w:line="210" w:lineRule="atLeast"/>
        <w:ind w:left="0" w:right="0"/>
        <w:jc w:val="right"/>
      </w:pPr>
      <w:r>
        <w:rPr>
          <w:rFonts w:ascii="Verdana" w:hAnsi="Verdana" w:eastAsia="Verdana" w:cs="Verdana"/>
          <w:sz w:val="22"/>
        </w:rPr>
        <w:t xml:space="preserve">Министар,</w:t>
      </w:r>
    </w:p>
    <w:p>
      <w:pPr>
        <w:spacing w:before="0" w:line="210" w:lineRule="atLeast"/>
        <w:ind w:left="0" w:right="0"/>
        <w:jc w:val="right"/>
      </w:pPr>
      <w:r>
        <w:rPr>
          <w:rFonts w:ascii="Verdana" w:hAnsi="Verdana" w:eastAsia="Verdana" w:cs="Verdana"/>
          <w:sz w:val="22"/>
        </w:rPr>
        <w:t xml:space="preserve">др </w:t>
      </w:r>
      <w:r>
        <w:rPr>
          <w:rFonts w:ascii="Verdana" w:hAnsi="Verdana" w:eastAsia="Verdana" w:cs="Verdana"/>
          <w:b/>
          <w:sz w:val="22"/>
        </w:rPr>
        <w:t xml:space="preserve">Златибор Лончар,</w:t>
      </w:r>
      <w:r>
        <w:rPr>
          <w:rFonts w:ascii="Verdana" w:hAnsi="Verdana" w:eastAsia="Verdana" w:cs="Verdana"/>
          <w:sz w:val="22"/>
        </w:rPr>
        <w:t xml:space="preserve"> с.р.</w:t>
      </w:r>
    </w:p>
    <w:p>
      <w:pPr>
        <w:spacing w:line="210" w:lineRule="atLeast"/>
      </w:pPr>
      <w:r>
        <w:rPr>
          <w:rFonts w:ascii="Verdana" w:hAnsi="Verdana" w:eastAsia="Verdana" w:cs="Verdana"/>
          <w:sz w:val="22"/>
        </w:rPr>
        <w:drawing>
          <wp:inline xmlns:wp="http://schemas.openxmlformats.org/drawingml/2006/wordprocessingDrawing" distT="0" distB="0" distL="0" distR="0">
            <wp:extent cx="5000000" cy="7037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LhSag7CI1lAAAAAElFTkSuQmCC"/>
                    <pic:cNvPicPr/>
                  </pic:nvPicPr>
                  <pic:blipFill>
                    <a:blip xmlns:r="http://schemas.openxmlformats.org/officeDocument/2006/relationships" r:embed="R401880df84174b2c" cstate="print">
                      <a:extLst>
                        <a:ext uri="{28A0092B-C50C-407E-A947-70E740481C1C}"/>
                      </a:extLst>
                    </a:blip>
                    <a:stretch>
                      <a:fillRect/>
                    </a:stretch>
                  </pic:blipFill>
                  <pic:spPr>
                    <a:xfrm>
                      <a:off x="0" y="0"/>
                      <a:ext cx="5000000" cy="7037718"/>
                    </a:xfrm>
                    <a:prstGeom prst="rect">
                      <a:avLst/>
                    </a:prstGeom>
                  </pic:spPr>
                </pic:pic>
              </a:graphicData>
            </a:graphic>
          </wp:inline>
        </w:drawing>
      </w:r>
    </w:p>
    <w:p>
      <w:pPr>
        <w:spacing w:line="210" w:lineRule="atLeast"/>
      </w:pPr>
      <w:r>
        <w:rPr>
          <w:rFonts w:ascii="Verdana" w:hAnsi="Verdana" w:eastAsia="Verdana" w:cs="Verdana"/>
          <w:sz w:val="22"/>
        </w:rPr>
        <w:drawing>
          <wp:inline xmlns:wp="http://schemas.openxmlformats.org/drawingml/2006/wordprocessingDrawing" distT="0" distB="0" distL="0" distR="0">
            <wp:extent cx="5000000" cy="7037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AAACiiR8AAABANPEDAAAAiCZ+AAAAANHEDwAAACCa+AEAAABEEz8AAACAaOIHAAAAEE38AAAAAKKJHwAAAEA08QMAAACIJn4AAAAA0cQPAAAAIJr4AQAAAET7XyVyJ+88pgJRAAAAAElFTkSuQmCC"/>
                    <pic:cNvPicPr/>
                  </pic:nvPicPr>
                  <pic:blipFill>
                    <a:blip xmlns:r="http://schemas.openxmlformats.org/officeDocument/2006/relationships" r:embed="R3ebc6dda3b0b48c4" cstate="print">
                      <a:extLst>
                        <a:ext uri="{28A0092B-C50C-407E-A947-70E740481C1C}"/>
                      </a:extLst>
                    </a:blip>
                    <a:stretch>
                      <a:fillRect/>
                    </a:stretch>
                  </pic:blipFill>
                  <pic:spPr>
                    <a:xfrm>
                      <a:off x="0" y="0"/>
                      <a:ext cx="5000000" cy="7037718"/>
                    </a:xfrm>
                    <a:prstGeom prst="rect">
                      <a:avLst/>
                    </a:prstGeom>
                  </pic:spPr>
                </pic:pic>
              </a:graphicData>
            </a:graphic>
          </wp:inline>
        </w:drawing>
      </w:r>
    </w:p>
    <w:p>
      <w:pPr>
        <w:spacing w:line="210" w:lineRule="atLeast"/>
      </w:pPr>
      <w:r>
        <w:rPr>
          <w:rFonts w:ascii="Verdana" w:hAnsi="Verdana" w:eastAsia="Verdana" w:cs="Verdana"/>
          <w:sz w:val="22"/>
        </w:rPr>
        <w:drawing>
          <wp:inline xmlns:wp="http://schemas.openxmlformats.org/drawingml/2006/wordprocessingDrawing" distT="0" distB="0" distL="0" distR="0">
            <wp:extent cx="5000000" cy="7037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FQbIsuNS75ggAAAABJRU5ErkJggg=="/>
                    <pic:cNvPicPr/>
                  </pic:nvPicPr>
                  <pic:blipFill>
                    <a:blip xmlns:r="http://schemas.openxmlformats.org/officeDocument/2006/relationships" r:embed="R91386b3c6a714708" cstate="print">
                      <a:extLst>
                        <a:ext uri="{28A0092B-C50C-407E-A947-70E740481C1C}"/>
                      </a:extLst>
                    </a:blip>
                    <a:stretch>
                      <a:fillRect/>
                    </a:stretch>
                  </pic:blipFill>
                  <pic:spPr>
                    <a:xfrm>
                      <a:off x="0" y="0"/>
                      <a:ext cx="5000000" cy="7037718"/>
                    </a:xfrm>
                    <a:prstGeom prst="rect">
                      <a:avLst/>
                    </a:prstGeom>
                  </pic:spPr>
                </pic:pic>
              </a:graphicData>
            </a:graphic>
          </wp:inline>
        </w:drawing>
      </w:r>
    </w:p>
    <w:p>
      <w:pPr>
        <w:spacing w:line="210" w:lineRule="atLeast"/>
      </w:pPr>
      <w:r>
        <w:rPr>
          <w:rFonts w:ascii="Verdana" w:hAnsi="Verdana" w:eastAsia="Verdana" w:cs="Verdana"/>
          <w:sz w:val="22"/>
        </w:rPr>
        <w:drawing>
          <wp:inline xmlns:wp="http://schemas.openxmlformats.org/drawingml/2006/wordprocessingDrawing" distT="0" distB="0" distL="0" distR="0">
            <wp:extent cx="5000000" cy="7037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nR+E7r26sAAAAASUVORK5CYII="/>
                    <pic:cNvPicPr/>
                  </pic:nvPicPr>
                  <pic:blipFill>
                    <a:blip xmlns:r="http://schemas.openxmlformats.org/officeDocument/2006/relationships" r:embed="R5d6310272ea24ccd" cstate="print">
                      <a:extLst>
                        <a:ext uri="{28A0092B-C50C-407E-A947-70E740481C1C}"/>
                      </a:extLst>
                    </a:blip>
                    <a:stretch>
                      <a:fillRect/>
                    </a:stretch>
                  </pic:blipFill>
                  <pic:spPr>
                    <a:xfrm>
                      <a:off x="0" y="0"/>
                      <a:ext cx="5000000" cy="7037718"/>
                    </a:xfrm>
                    <a:prstGeom prst="rect">
                      <a:avLst/>
                    </a:prstGeom>
                  </pic:spPr>
                </pic:pic>
              </a:graphicData>
            </a:graphic>
          </wp:inline>
        </w:drawing>
      </w:r>
    </w:p>
    <w:p>
      <w:pPr>
        <w:spacing w:line="210" w:lineRule="atLeast"/>
      </w:pPr>
      <w:r>
        <w:rPr>
          <w:rFonts w:ascii="Verdana" w:hAnsi="Verdana" w:eastAsia="Verdana" w:cs="Verdana"/>
          <w:sz w:val="22"/>
        </w:rPr>
        <w:drawing>
          <wp:inline xmlns:wp="http://schemas.openxmlformats.org/drawingml/2006/wordprocessingDrawing" distT="0" distB="0" distL="0" distR="0">
            <wp:extent cx="5000000" cy="70377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AAgKz9P4tcYymujNLvAAAAAElFTkSuQmCC"/>
                    <pic:cNvPicPr/>
                  </pic:nvPicPr>
                  <pic:blipFill>
                    <a:blip xmlns:r="http://schemas.openxmlformats.org/officeDocument/2006/relationships" r:embed="Rf205d0ecacec4ee8" cstate="print">
                      <a:extLst>
                        <a:ext uri="{28A0092B-C50C-407E-A947-70E740481C1C}"/>
                      </a:extLst>
                    </a:blip>
                    <a:stretch>
                      <a:fillRect/>
                    </a:stretch>
                  </pic:blipFill>
                  <pic:spPr>
                    <a:xfrm>
                      <a:off x="0" y="0"/>
                      <a:ext cx="5000000" cy="7037718"/>
                    </a:xfrm>
                    <a:prstGeom prst="rect">
                      <a:avLst/>
                    </a:prstGeom>
                  </pic:spPr>
                </pic:pic>
              </a:graphicData>
            </a:graphic>
          </wp:inline>
        </w:drawing>
      </w:r>
    </w:p>
    <w:p>
      <w:pPr>
        <w:spacing w:before="0" w:line="210" w:lineRule="atLeast"/>
        <w:ind w:left="0" w:right="0"/>
      </w:pPr>
      <w:r>
        <w:rPr>
          <w:rFonts w:ascii="Verdana" w:hAnsi="Verdana" w:eastAsia="Verdana" w:cs="Verdana"/>
          <w:sz w:val="22"/>
        </w:rPr>
        <w:t xml:space="preserve">ПРИЛОГ 3: Групе комбинованих здравствених упозорења (веза између фотографије, одговарајућег текстуалног упозорења и информације о престанку пушења)</w:t>
      </w:r>
    </w:p>
    <w:p>
      <w:pPr>
        <w:spacing w:before="0" w:line="210" w:lineRule="atLeast"/>
        <w:ind w:left="0" w:right="0"/>
        <w:jc w:val="center"/>
      </w:pPr>
      <w:r>
        <w:rPr>
          <w:rFonts w:ascii="Verdana" w:hAnsi="Verdana" w:eastAsia="Verdana" w:cs="Verdana"/>
          <w:sz w:val="22"/>
        </w:rPr>
        <w:t xml:space="preserve">ГРУПА 1.</w:t>
      </w:r>
    </w:p>
    <w:tbl>
      <w:tblPr>
        <w:tblW w:w="99%" w:type="pct"/>
      </w:tblPr>
      <w:tblGrid>
        <w:gridCol/>
        <w:gridCol/>
        <w:gridCol/>
      </w:tblGrid>
      <w:tr>
        <w:tc>
          <w:p>
            <w:pPr>
              <w:spacing w:before="0" w:line="210" w:lineRule="atLeast"/>
              <w:ind w:left="0" w:right="0"/>
            </w:pPr>
            <w:r>
              <w:rPr>
                <w:rFonts w:ascii="Verdana" w:hAnsi="Verdana" w:eastAsia="Verdana" w:cs="Verdana"/>
                <w:sz w:val="22"/>
              </w:rPr>
              <w:t xml:space="preserve">Прилог 2. Сет 1. Фотографија 1.</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 </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2.</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2)</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3.</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3)</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4.</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4)</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5.</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5)</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6.</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6)</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7.</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7)</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8.</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8)</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9.</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9)</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10.</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10)</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11.</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11)</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12.</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12)</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13.</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13)</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1. Фотографија 14.</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14)</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bl>
    <w:p>
      <w:pPr>
        <w:spacing w:before="0" w:line="210" w:lineRule="atLeast"/>
        <w:ind w:left="0" w:right="0"/>
        <w:jc w:val="center"/>
      </w:pPr>
      <w:r>
        <w:rPr>
          <w:rFonts w:ascii="Verdana" w:hAnsi="Verdana" w:eastAsia="Verdana" w:cs="Verdana"/>
          <w:sz w:val="22"/>
        </w:rPr>
        <w:t xml:space="preserve">ГРУПА 2.</w:t>
      </w:r>
    </w:p>
    <w:tbl>
      <w:tblPr>
        <w:tblW w:w="99%" w:type="pct"/>
      </w:tblPr>
      <w:tblGrid>
        <w:gridCol/>
        <w:gridCol/>
        <w:gridCol/>
      </w:tblGrid>
      <w:tr>
        <w:tc>
          <w:p>
            <w:pPr>
              <w:spacing w:before="0" w:line="210" w:lineRule="atLeast"/>
              <w:ind w:left="0" w:right="0"/>
            </w:pPr>
            <w:r>
              <w:rPr>
                <w:rFonts w:ascii="Verdana" w:hAnsi="Verdana" w:eastAsia="Verdana" w:cs="Verdana"/>
                <w:sz w:val="22"/>
              </w:rPr>
              <w:t xml:space="preserve">Прилог 2. Сет 2. Фотографија 1.</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 </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2.</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2)</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3.</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3)</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4.</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4)</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5.</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5)</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6.</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6)</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7.</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7)</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8.</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8)</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9.</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9)</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10.</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10)</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11.</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11)</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12.</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12)</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13.</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13)</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2. Фотографија 14.</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14)</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bl>
    <w:p>
      <w:pPr>
        <w:spacing w:before="0" w:line="210" w:lineRule="atLeast"/>
        <w:ind w:left="0" w:right="0"/>
        <w:jc w:val="center"/>
      </w:pPr>
      <w:r>
        <w:rPr>
          <w:rFonts w:ascii="Verdana" w:hAnsi="Verdana" w:eastAsia="Verdana" w:cs="Verdana"/>
          <w:sz w:val="22"/>
        </w:rPr>
        <w:t xml:space="preserve">ГРУПА 3.</w:t>
      </w:r>
    </w:p>
    <w:tbl>
      <w:tblPr>
        <w:tblW w:w="99%" w:type="pct"/>
      </w:tblPr>
      <w:tblGrid>
        <w:gridCol/>
        <w:gridCol/>
        <w:gridCol/>
      </w:tblGrid>
      <w:tr>
        <w:tc>
          <w:p>
            <w:pPr>
              <w:spacing w:before="0" w:line="210" w:lineRule="atLeast"/>
              <w:ind w:left="0" w:right="0"/>
            </w:pPr>
            <w:r>
              <w:rPr>
                <w:rFonts w:ascii="Verdana" w:hAnsi="Verdana" w:eastAsia="Verdana" w:cs="Verdana"/>
                <w:sz w:val="22"/>
              </w:rPr>
              <w:t xml:space="preserve">Прилог 2. Сет 3. Фотографија 1.</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 </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2.</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2)</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3.</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3)</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4.</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4)</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5.</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5)</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6.</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6)</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7.</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7)</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8.</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8)</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9.</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9)</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10.</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10)</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11.</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11)</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12.</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12)</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13.</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13)</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r>
        <w:tc>
          <w:p>
            <w:pPr>
              <w:spacing w:before="0" w:line="210" w:lineRule="atLeast"/>
              <w:ind w:left="0" w:right="0"/>
            </w:pPr>
            <w:r>
              <w:rPr>
                <w:rFonts w:ascii="Verdana" w:hAnsi="Verdana" w:eastAsia="Verdana" w:cs="Verdana"/>
                <w:sz w:val="22"/>
              </w:rPr>
              <w:t xml:space="preserve">Прилог 2. Сет 3. Фотографија 14.</w:t>
            </w:r>
          </w:p>
        </w:tc>
        <w:tc>
          <w:p>
            <w:pPr>
              <w:spacing w:before="0" w:line="210" w:lineRule="atLeast"/>
              <w:ind w:left="0" w:right="0"/>
            </w:pPr>
            <w:r>
              <w:rPr>
                <w:rFonts w:ascii="Verdana" w:hAnsi="Verdana" w:eastAsia="Verdana" w:cs="Verdana"/>
                <w:sz w:val="22"/>
              </w:rPr>
              <w:t xml:space="preserve">Текстуално упозорење из члана 2. став 1. тачка 14)</w:t>
            </w:r>
          </w:p>
        </w:tc>
        <w:tc>
          <w:p>
            <w:pPr>
              <w:spacing w:before="0" w:line="210" w:lineRule="atLeast"/>
              <w:ind w:left="0" w:right="0"/>
            </w:pPr>
            <w:r>
              <w:rPr>
                <w:rFonts w:ascii="Verdana" w:hAnsi="Verdana" w:eastAsia="Verdana" w:cs="Verdana"/>
                <w:sz w:val="22"/>
              </w:rPr>
              <w:t xml:space="preserve">Информација о престанку пушења из члана 2. став 3.</w:t>
            </w:r>
          </w:p>
        </w:tc>
      </w:tr>
    </w:tbl>
  </w:body>
</w:document>
</file>

<file path=word/_rels/document.xml.rels>&#65279;<?xml version="1.0" encoding="utf-8"?><Relationships xmlns="http://schemas.openxmlformats.org/package/2006/relationships"><Relationship Type="http://schemas.openxmlformats.org/officeDocument/2006/relationships/hyperlink" Target="https://pravno-informacioni-sistem.rs" TargetMode="External" Id="R5fa3d2622fda42c4" /><Relationship Type="http://schemas.openxmlformats.org/officeDocument/2006/relationships/image" Target="/media/image.bmp" Id="R401880df84174b2c" /><Relationship Type="http://schemas.openxmlformats.org/officeDocument/2006/relationships/image" Target="/media/image2.bmp" Id="R3ebc6dda3b0b48c4" /><Relationship Type="http://schemas.openxmlformats.org/officeDocument/2006/relationships/image" Target="/media/image3.bmp" Id="R91386b3c6a714708" /><Relationship Type="http://schemas.openxmlformats.org/officeDocument/2006/relationships/image" Target="/media/image4.bmp" Id="R5d6310272ea24ccd" /><Relationship Type="http://schemas.openxmlformats.org/officeDocument/2006/relationships/image" Target="/media/image5.bmp" Id="Rf205d0ecacec4ee8" /></Relationships>
</file>