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0B" w:rsidRPr="00497E46" w:rsidRDefault="00102054" w:rsidP="005C34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D3D3D"/>
          <w:sz w:val="24"/>
          <w:szCs w:val="24"/>
          <w:lang w:val="sr-Cyrl-RS"/>
        </w:rPr>
      </w:pPr>
      <w:r w:rsidRPr="00497E46">
        <w:rPr>
          <w:rFonts w:ascii="Times New Roman" w:hAnsi="Times New Roman"/>
          <w:noProof/>
          <w:sz w:val="24"/>
          <w:szCs w:val="24"/>
          <w:lang w:val="sr-Cyrl-RS" w:eastAsia="sr-Cyrl-RS"/>
        </w:rPr>
        <w:drawing>
          <wp:inline distT="0" distB="0" distL="0" distR="0">
            <wp:extent cx="49530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0B" w:rsidRPr="00497E46" w:rsidRDefault="005C340B" w:rsidP="005C340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Република Србија</w:t>
      </w:r>
    </w:p>
    <w:p w:rsidR="005C340B" w:rsidRPr="00497E46" w:rsidRDefault="005C340B" w:rsidP="005C340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МИНИСТАРСТВО ФИНАНСИЈА</w:t>
      </w:r>
    </w:p>
    <w:p w:rsidR="005C340B" w:rsidRPr="00497E46" w:rsidRDefault="005C340B" w:rsidP="005C340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УПРАВА ЗА ДУВАН</w:t>
      </w:r>
    </w:p>
    <w:p w:rsidR="005C340B" w:rsidRPr="00497E46" w:rsidRDefault="005C340B" w:rsidP="0041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610C9" w:rsidRPr="00497E46" w:rsidRDefault="002922AA" w:rsidP="00417AC8">
      <w:pPr>
        <w:shd w:val="clear" w:color="auto" w:fill="FFFFFF"/>
        <w:spacing w:after="0" w:line="240" w:lineRule="auto"/>
        <w:ind w:left="-284" w:right="-233"/>
        <w:jc w:val="both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  <w:r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>Министарство финансија-Управа за дуван</w:t>
      </w:r>
      <w:r w:rsidR="00B610C9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>, на основу члана 54. и 55. Закона о државним службеницима (,,</w:t>
      </w:r>
      <w:r w:rsidR="00165BAC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Службени гласник РС”, бр. </w:t>
      </w:r>
      <w:r w:rsidR="00B97448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>79/05, 81/05-исправка, 83/05-исправка, 64/07, 67/07-исправка, 116/08, 104/09, 99/14, 94/17</w:t>
      </w:r>
      <w:r w:rsidR="0069265F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>,</w:t>
      </w:r>
      <w:r w:rsidR="00B97448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95/18</w:t>
      </w:r>
      <w:r w:rsidR="00CF04AD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>,</w:t>
      </w:r>
      <w:r w:rsidR="0069265F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157/20</w:t>
      </w:r>
      <w:r w:rsidR="00CF04AD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и 142/22</w:t>
      </w:r>
      <w:r w:rsidR="00B02499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) и </w:t>
      </w:r>
      <w:r w:rsidR="000A5FE4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>члана 9. став 1. Уредбе о интерном и јавном конкурсу за попуњавање радних места у државним органима (,,Службени гласник РС”, број 2/19 и 67/21)</w:t>
      </w:r>
      <w:r w:rsidR="00B610C9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и Закључка Комисије за давање сагласности за ново запошљавање и додатно радно ангажовање код корисника јавних средстава </w:t>
      </w:r>
      <w:r w:rsidR="00C66C51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>51 Број</w:t>
      </w:r>
      <w:r w:rsidR="00860FF1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>:</w:t>
      </w:r>
      <w:r w:rsidR="00C66C51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</w:t>
      </w:r>
      <w:r w:rsidR="009359B2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>112-2426/2024</w:t>
      </w:r>
      <w:r w:rsidR="00C66C51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од </w:t>
      </w:r>
      <w:r w:rsidR="009359B2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>27</w:t>
      </w:r>
      <w:r w:rsidR="00A9179C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. </w:t>
      </w:r>
      <w:r w:rsidR="009359B2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>марта</w:t>
      </w:r>
      <w:r w:rsidR="000A5FE4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</w:t>
      </w:r>
      <w:r w:rsidR="00523B52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>20</w:t>
      </w:r>
      <w:r w:rsidR="00435EC8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>2</w:t>
      </w:r>
      <w:r w:rsidR="009359B2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>4</w:t>
      </w:r>
      <w:r w:rsidR="00B610C9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>. године, оглашава</w:t>
      </w:r>
    </w:p>
    <w:p w:rsidR="0019228D" w:rsidRPr="00497E46" w:rsidRDefault="0019228D" w:rsidP="00B6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D44B8" w:rsidRPr="00497E46" w:rsidRDefault="004D44B8" w:rsidP="00B6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35EC8" w:rsidRPr="00497E46" w:rsidRDefault="00435EC8" w:rsidP="00435E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ЈАВНИ КОНКУРС</w:t>
      </w:r>
    </w:p>
    <w:p w:rsidR="00B610C9" w:rsidRPr="00497E46" w:rsidRDefault="00B610C9" w:rsidP="00435E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ЗА ПОПУЊАВАЊЕ </w:t>
      </w:r>
      <w:r w:rsidR="00435EC8" w:rsidRPr="00497E4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ИЗВРШИЛАЧК</w:t>
      </w:r>
      <w:r w:rsidR="00FC46BA" w:rsidRPr="00497E4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ОГ </w:t>
      </w:r>
      <w:r w:rsidR="00435EC8" w:rsidRPr="00497E4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РАДН</w:t>
      </w:r>
      <w:r w:rsidR="00FC46BA" w:rsidRPr="00497E4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="00435EC8" w:rsidRPr="00497E4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МЕСТА</w:t>
      </w:r>
      <w:r w:rsidRPr="00497E4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br/>
        <w:t xml:space="preserve">У </w:t>
      </w:r>
      <w:r w:rsidR="002922AA" w:rsidRPr="00497E4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МИНИСТАРСТВУ ФИНАНСИЈА-УПРАВИ ЗА ДУВАН</w:t>
      </w:r>
    </w:p>
    <w:p w:rsidR="00F35BAA" w:rsidRPr="00497E46" w:rsidRDefault="00B610C9" w:rsidP="00417AC8">
      <w:pPr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br/>
      </w: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I Орган у коме се радн</w:t>
      </w:r>
      <w:r w:rsidR="00D559A6"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о</w:t>
      </w: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мест</w:t>
      </w:r>
      <w:r w:rsidR="00D559A6"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о</w:t>
      </w: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попуњава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 w:rsidR="002922AA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Министарство финансија-Управа за дуван, </w:t>
      </w:r>
      <w:r w:rsidR="009359B2" w:rsidRPr="00497E46">
        <w:rPr>
          <w:rFonts w:ascii="Times New Roman" w:eastAsia="Times New Roman" w:hAnsi="Times New Roman"/>
          <w:sz w:val="24"/>
          <w:szCs w:val="24"/>
          <w:lang w:val="sr-Cyrl-RS"/>
        </w:rPr>
        <w:t>Балканска 53</w:t>
      </w:r>
      <w:r w:rsidR="002922AA" w:rsidRPr="00497E46">
        <w:rPr>
          <w:rFonts w:ascii="Times New Roman" w:eastAsia="Times New Roman" w:hAnsi="Times New Roman"/>
          <w:sz w:val="24"/>
          <w:szCs w:val="24"/>
          <w:lang w:val="sr-Cyrl-RS"/>
        </w:rPr>
        <w:t>, Београд</w:t>
      </w:r>
      <w:r w:rsidR="009359B2" w:rsidRPr="00497E46">
        <w:rPr>
          <w:rFonts w:ascii="Times New Roman" w:eastAsia="Times New Roman" w:hAnsi="Times New Roman"/>
          <w:sz w:val="24"/>
          <w:szCs w:val="24"/>
          <w:lang w:val="sr-Cyrl-RS"/>
        </w:rPr>
        <w:t>, Савски венац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F35BAA" w:rsidRPr="00497E46" w:rsidRDefault="00B610C9" w:rsidP="00417AC8">
      <w:pPr>
        <w:ind w:left="-284" w:right="-375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II </w:t>
      </w:r>
      <w:r w:rsidR="000056F4"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Радн</w:t>
      </w:r>
      <w:r w:rsidR="00FD0AE7"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о</w:t>
      </w:r>
      <w:r w:rsidR="002922AA"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мест</w:t>
      </w:r>
      <w:r w:rsidR="00FD0AE7"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о</w:t>
      </w:r>
      <w:r w:rsidR="002922AA"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кој</w:t>
      </w:r>
      <w:r w:rsidR="00FD0AE7"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е</w:t>
      </w:r>
      <w:r w:rsidR="002922AA"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се попуњава</w:t>
      </w:r>
      <w:r w:rsidR="00D559A6"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:</w:t>
      </w:r>
      <w:r w:rsidR="00196AA7"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5D24BD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Радно место </w:t>
      </w:r>
      <w:r w:rsidR="009359B2" w:rsidRPr="00497E46">
        <w:rPr>
          <w:rFonts w:ascii="Times New Roman" w:eastAsia="Times New Roman" w:hAnsi="Times New Roman"/>
          <w:sz w:val="24"/>
          <w:szCs w:val="24"/>
          <w:lang w:val="sr-Cyrl-RS"/>
        </w:rPr>
        <w:t>за</w:t>
      </w:r>
      <w:r w:rsidR="000302A2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послове јавних набавки</w:t>
      </w:r>
      <w:r w:rsidR="002922AA" w:rsidRPr="00497E46">
        <w:rPr>
          <w:rFonts w:ascii="Times New Roman" w:eastAsia="Times New Roman" w:hAnsi="Times New Roman"/>
          <w:sz w:val="24"/>
          <w:szCs w:val="24"/>
          <w:lang w:val="sr-Cyrl-RS"/>
        </w:rPr>
        <w:t>, у звању</w:t>
      </w:r>
      <w:r w:rsidR="002F32BA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359B2" w:rsidRPr="00497E46">
        <w:rPr>
          <w:rFonts w:ascii="Times New Roman" w:eastAsia="Times New Roman" w:hAnsi="Times New Roman"/>
          <w:sz w:val="24"/>
          <w:szCs w:val="24"/>
          <w:lang w:val="sr-Cyrl-RS"/>
        </w:rPr>
        <w:t>саветник</w:t>
      </w:r>
      <w:r w:rsidR="00E019B0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65BAC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r w:rsidR="00FD0AE7" w:rsidRPr="00497E46">
        <w:rPr>
          <w:rFonts w:ascii="Times New Roman" w:eastAsia="Times New Roman" w:hAnsi="Times New Roman"/>
          <w:sz w:val="24"/>
          <w:szCs w:val="24"/>
          <w:lang w:val="sr-Cyrl-RS"/>
        </w:rPr>
        <w:t>Одсеку за финансијско-материјалне</w:t>
      </w:r>
      <w:r w:rsidR="00735EE2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послове</w:t>
      </w:r>
      <w:r w:rsidR="00523B52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922AA" w:rsidRPr="00497E46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="002768AA" w:rsidRPr="00497E46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="002922AA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извршилац</w:t>
      </w:r>
    </w:p>
    <w:p w:rsidR="009359B2" w:rsidRPr="00497E46" w:rsidRDefault="00B610C9" w:rsidP="009359B2">
      <w:pPr>
        <w:ind w:left="-284" w:right="-284"/>
        <w:jc w:val="both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Опис послова радног места: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359B2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>Спроводи све активности у вези са покретањем и вођењем свих врста поступака набавки у оквиру Управе, припрема и израђује појединачне актe који се односе на планирање и спровођење поступака набавки, припрема конкурсну документацију; припрема предлоге уговора које закључује Управа са другим правним и физичким лицима, прати закључење и реализацију уговора, поступа по поднетим приговорима и жалбама; припрема и израђује предлог Интерног акта о набавкама, израђује годишњи план јавних набавки, централизованих јавних набавки и план набавки које су изузете од примене закона; припрема и води све прописане евиденције из области набавки, доставља извештаје у складу са законом; прати стање и примену закона и других прописа из области јавних набавки, пружа стручна објашњења о примени закона из области јавних набавки; сарађује са надлежним органима за послове јавних набавки, другим органима и организацијама и припрема извештаје, информације и анализе из делокруга свог рада; обавља и друге послове по налогу шефа Одсека.</w:t>
      </w:r>
    </w:p>
    <w:p w:rsidR="009359B2" w:rsidRPr="00497E46" w:rsidRDefault="00B610C9" w:rsidP="009359B2">
      <w:pPr>
        <w:ind w:left="-284" w:right="-284"/>
        <w:jc w:val="both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  <w:r w:rsidRPr="00497E4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Услови за рад на радном месту: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359B2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>Стечено високо образовање из научне односно стручне области у оквиру образовно-научн</w:t>
      </w:r>
      <w:r w:rsidR="00685B4E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ог поља друштвено-хуманистичких наука </w:t>
      </w:r>
      <w:r w:rsidR="009359B2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</w:t>
      </w:r>
      <w:r w:rsidR="009359B2" w:rsidRPr="00497E46">
        <w:rPr>
          <w:rFonts w:ascii="Times New Roman" w:eastAsia="Times New Roman" w:hAnsi="Times New Roman"/>
          <w:sz w:val="24"/>
          <w:szCs w:val="24"/>
          <w:lang w:val="sr-Cyrl-RS" w:eastAsia="sr-Cyrl-CS"/>
        </w:rPr>
        <w:lastRenderedPageBreak/>
        <w:t>у трајању од најмање четири године или специјалистичким студијама на факултету; најмање три године радног искуства у струци; положен државни стручни испит, као и потребне компетенције за рад на радном месту.</w:t>
      </w:r>
    </w:p>
    <w:p w:rsidR="00E46C29" w:rsidRPr="00497E46" w:rsidRDefault="00D559A6" w:rsidP="009359B2">
      <w:pPr>
        <w:ind w:left="-284" w:right="-284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III </w:t>
      </w:r>
      <w:r w:rsidR="00B145E1" w:rsidRPr="00497E4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Место рада: </w:t>
      </w:r>
      <w:r w:rsidR="009359B2" w:rsidRPr="00497E46">
        <w:rPr>
          <w:rFonts w:ascii="Times New Roman" w:eastAsia="Times New Roman" w:hAnsi="Times New Roman"/>
          <w:sz w:val="24"/>
          <w:szCs w:val="24"/>
          <w:lang w:val="sr-Cyrl-RS"/>
        </w:rPr>
        <w:t>Балканска 53</w:t>
      </w:r>
      <w:r w:rsidR="00267AC7" w:rsidRPr="00497E46">
        <w:rPr>
          <w:rFonts w:ascii="Times New Roman" w:eastAsia="Times New Roman" w:hAnsi="Times New Roman"/>
          <w:sz w:val="24"/>
          <w:szCs w:val="24"/>
          <w:lang w:val="sr-Cyrl-RS"/>
        </w:rPr>
        <w:t>, Београд</w:t>
      </w:r>
      <w:r w:rsidR="009359B2" w:rsidRPr="00497E46">
        <w:rPr>
          <w:rFonts w:ascii="Times New Roman" w:eastAsia="Times New Roman" w:hAnsi="Times New Roman"/>
          <w:sz w:val="24"/>
          <w:szCs w:val="24"/>
          <w:lang w:val="sr-Cyrl-RS"/>
        </w:rPr>
        <w:t>, Савски венац</w:t>
      </w:r>
      <w:r w:rsidR="00267AC7" w:rsidRPr="00497E4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DE4C9F" w:rsidRPr="00497E46" w:rsidRDefault="00DE4C9F" w:rsidP="00417AC8">
      <w:pPr>
        <w:tabs>
          <w:tab w:val="left" w:pos="720"/>
        </w:tabs>
        <w:spacing w:after="0" w:line="240" w:lineRule="auto"/>
        <w:ind w:left="-284" w:right="-375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IV Фазе изборног поступка и учешће кандидата:</w:t>
      </w:r>
    </w:p>
    <w:p w:rsidR="00DE4C9F" w:rsidRPr="00497E46" w:rsidRDefault="00DE4C9F" w:rsidP="00417AC8">
      <w:pPr>
        <w:tabs>
          <w:tab w:val="left" w:pos="360"/>
          <w:tab w:val="left" w:pos="1276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Изборни поступак спроводи се </w:t>
      </w:r>
      <w:r w:rsidR="00017EBB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у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више обавезних фаза у којима се проверавају опште функционалне, посебне функционалне и понашајне компетенције и фазе у којој се спроводи интервју са</w:t>
      </w:r>
      <w:r w:rsidR="009B0A5F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Конкурсном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комисијом</w:t>
      </w:r>
      <w:r w:rsidR="009B0A5F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(у даљем тексту: Комисија)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. </w:t>
      </w:r>
    </w:p>
    <w:p w:rsidR="00417AC8" w:rsidRPr="00497E46" w:rsidRDefault="005D24BD" w:rsidP="00417AC8">
      <w:pPr>
        <w:tabs>
          <w:tab w:val="left" w:pos="360"/>
          <w:tab w:val="left" w:pos="1276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497E46">
        <w:rPr>
          <w:rFonts w:ascii="Times New Roman" w:eastAsia="Times New Roman" w:hAnsi="Times New Roman"/>
          <w:sz w:val="24"/>
          <w:szCs w:val="24"/>
          <w:lang w:val="sr-Cyrl-RS" w:eastAsia="sr-Latn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изборног поступка.</w:t>
      </w:r>
    </w:p>
    <w:p w:rsidR="00417AC8" w:rsidRPr="00497E46" w:rsidRDefault="00417AC8" w:rsidP="00417AC8">
      <w:pPr>
        <w:tabs>
          <w:tab w:val="left" w:pos="360"/>
          <w:tab w:val="left" w:pos="1276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DE4C9F" w:rsidRPr="00497E46" w:rsidRDefault="00DE4C9F" w:rsidP="00417AC8">
      <w:pPr>
        <w:tabs>
          <w:tab w:val="left" w:pos="360"/>
          <w:tab w:val="left" w:pos="1276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У изборном поступку проверавају се: </w:t>
      </w:r>
    </w:p>
    <w:p w:rsidR="00DE4C9F" w:rsidRPr="00497E46" w:rsidRDefault="00DE4C9F" w:rsidP="009F5583">
      <w:pPr>
        <w:tabs>
          <w:tab w:val="left" w:pos="720"/>
        </w:tabs>
        <w:spacing w:after="0"/>
        <w:ind w:right="-3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</w:p>
    <w:p w:rsidR="00DE4C9F" w:rsidRPr="00497E46" w:rsidRDefault="00262CA2" w:rsidP="00417AC8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sr-Cyrl-RS"/>
        </w:rPr>
        <w:t xml:space="preserve">1. </w:t>
      </w:r>
      <w:r w:rsidR="00DE4C9F" w:rsidRPr="00497E4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sr-Cyrl-RS"/>
        </w:rPr>
        <w:t>Опште функционалне компетенције</w:t>
      </w:r>
      <w:r w:rsidR="00DE4C9F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, и то:</w:t>
      </w:r>
    </w:p>
    <w:p w:rsidR="006715F9" w:rsidRPr="00497E46" w:rsidRDefault="00DE4C9F" w:rsidP="00417AC8">
      <w:pPr>
        <w:numPr>
          <w:ilvl w:val="0"/>
          <w:numId w:val="5"/>
        </w:numPr>
        <w:tabs>
          <w:tab w:val="left" w:pos="284"/>
        </w:tabs>
        <w:spacing w:after="0"/>
        <w:ind w:left="-284" w:right="-375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„Организ</w:t>
      </w:r>
      <w:r w:rsidR="006715F9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ација и рад државних органа Р</w:t>
      </w:r>
      <w:r w:rsidR="0036275A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епублике </w:t>
      </w:r>
      <w:r w:rsidR="006715F9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С</w:t>
      </w:r>
      <w:r w:rsidR="0036275A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рбије</w:t>
      </w:r>
      <w:r w:rsidR="006715F9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“</w:t>
      </w:r>
      <w:r w:rsidR="000302A2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– провераваће се путем теста (пис</w:t>
      </w:r>
      <w:r w:rsidR="00685B4E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ано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)  </w:t>
      </w:r>
    </w:p>
    <w:p w:rsidR="006715F9" w:rsidRPr="00497E46" w:rsidRDefault="00017EBB" w:rsidP="00417AC8">
      <w:pPr>
        <w:numPr>
          <w:ilvl w:val="0"/>
          <w:numId w:val="5"/>
        </w:numPr>
        <w:tabs>
          <w:tab w:val="left" w:pos="284"/>
        </w:tabs>
        <w:spacing w:after="0"/>
        <w:ind w:left="-284" w:right="-375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„Дигитална писменост“</w:t>
      </w:r>
      <w:r w:rsidR="00DE4C9F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– провераваће се решавањем задатака  (практичним радом на рачунару) </w:t>
      </w:r>
    </w:p>
    <w:p w:rsidR="00DE4C9F" w:rsidRPr="00497E46" w:rsidRDefault="00267AC7" w:rsidP="00417AC8">
      <w:pPr>
        <w:numPr>
          <w:ilvl w:val="0"/>
          <w:numId w:val="5"/>
        </w:numPr>
        <w:tabs>
          <w:tab w:val="left" w:pos="284"/>
          <w:tab w:val="left" w:pos="709"/>
        </w:tabs>
        <w:spacing w:after="0" w:line="480" w:lineRule="auto"/>
        <w:ind w:left="-284" w:right="-375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„Пословна комуникација</w:t>
      </w:r>
      <w:r w:rsidR="00017EBB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“</w:t>
      </w:r>
      <w:r w:rsidR="000302A2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 w:rsidR="00DE4C9F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– провераваће се путем симулације (пис</w:t>
      </w:r>
      <w:r w:rsidR="00685B4E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ано</w:t>
      </w:r>
      <w:r w:rsidR="00DE4C9F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).</w:t>
      </w:r>
    </w:p>
    <w:p w:rsidR="00DE4C9F" w:rsidRPr="00497E46" w:rsidRDefault="00DE4C9F" w:rsidP="00417AC8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Напомена:</w:t>
      </w:r>
      <w:r w:rsidR="002C4F67" w:rsidRPr="00497E4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6715F9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У 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погледу провере опште функционалне компет</w:t>
      </w:r>
      <w:r w:rsidR="002B1032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енције 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„Дигитална писменост“, ако поседујете важећи сертификат, потврду или други одговарајући доказ о познавању рада на рачунару</w:t>
      </w:r>
      <w:r w:rsidR="000723D9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(основе коришћења рачунара, основе коришћења интернета, обрада текста и табеларне калкулације)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 Комисија ће на основу приложеног доказа донети одлуку да ли може или не може да прихвати доказ који сте приложили уместо провере</w:t>
      </w:r>
      <w:r w:rsidR="002B1032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путем теста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.</w:t>
      </w:r>
      <w:r w:rsidRPr="00497E46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sr-Cyrl-RS"/>
        </w:rPr>
        <w:t>  </w:t>
      </w:r>
    </w:p>
    <w:p w:rsidR="000302A2" w:rsidRPr="00497E46" w:rsidRDefault="00DE4C9F" w:rsidP="00497E46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Информације o материјалимa за припрему кандидата за проверу општих функционалних компетенција могу се наћи на сајту Службе за упра</w:t>
      </w:r>
      <w:r w:rsidR="000302A2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вљање кадровима, </w:t>
      </w:r>
      <w:hyperlink r:id="rId7" w:history="1">
        <w:r w:rsidR="000302A2" w:rsidRPr="00497E46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sr-Cyrl-RS"/>
          </w:rPr>
          <w:t>www.suk.gov.rs</w:t>
        </w:r>
      </w:hyperlink>
      <w:r w:rsidR="000302A2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.</w:t>
      </w:r>
    </w:p>
    <w:p w:rsidR="00DE4C9F" w:rsidRPr="00497E46" w:rsidRDefault="00DE4C9F" w:rsidP="00DE4C9F">
      <w:pPr>
        <w:tabs>
          <w:tab w:val="left" w:pos="720"/>
        </w:tabs>
        <w:spacing w:after="0" w:line="240" w:lineRule="auto"/>
        <w:ind w:right="-36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DE4C9F" w:rsidRPr="00497E46" w:rsidRDefault="00DE4C9F" w:rsidP="00417AC8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2. Посебне функционалне компетенције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</w:p>
    <w:p w:rsidR="00DE4C9F" w:rsidRPr="00497E46" w:rsidRDefault="00DE4C9F" w:rsidP="00417AC8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2B1032" w:rsidRPr="00497E46" w:rsidRDefault="002B1032" w:rsidP="009F558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831A3" w:rsidRPr="00497E46" w:rsidRDefault="00E46C29" w:rsidP="00417AC8">
      <w:pPr>
        <w:spacing w:after="0" w:line="240" w:lineRule="auto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По</w:t>
      </w:r>
      <w:r w:rsidR="003933B9"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себна функционална компетенција </w:t>
      </w:r>
      <w:r w:rsidR="003933B9" w:rsidRPr="00497E46">
        <w:rPr>
          <w:rFonts w:ascii="Times New Roman" w:hAnsi="Times New Roman"/>
          <w:b/>
          <w:sz w:val="24"/>
          <w:szCs w:val="24"/>
          <w:lang w:val="sr-Cyrl-RS"/>
        </w:rPr>
        <w:t>за област рада послови јавних набавки</w:t>
      </w:r>
      <w:r w:rsidR="003933B9" w:rsidRPr="00497E46">
        <w:rPr>
          <w:rFonts w:ascii="Times New Roman" w:hAnsi="Times New Roman"/>
          <w:sz w:val="24"/>
          <w:szCs w:val="24"/>
          <w:lang w:val="sr-Cyrl-RS"/>
        </w:rPr>
        <w:t xml:space="preserve"> (методологија за припрему и израду плана јавних набавки)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провераваће се путем симулације (усмено).</w:t>
      </w:r>
    </w:p>
    <w:p w:rsidR="00E46C29" w:rsidRPr="00497E46" w:rsidRDefault="00E46C29" w:rsidP="00417AC8">
      <w:pPr>
        <w:spacing w:after="0" w:line="240" w:lineRule="auto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lastRenderedPageBreak/>
        <w:t>Посебна функционална компетенција за одређено радно место –</w:t>
      </w:r>
      <w:r w:rsidR="00FD03D0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933B9" w:rsidRPr="00497E46">
        <w:rPr>
          <w:rFonts w:ascii="Times New Roman" w:eastAsia="Times New Roman" w:hAnsi="Times New Roman"/>
          <w:sz w:val="24"/>
          <w:szCs w:val="24"/>
          <w:lang w:val="sr-Cyrl-RS"/>
        </w:rPr>
        <w:t>планска документа, прописи и акти из надлежности и организације органа (Закон о дувану),</w:t>
      </w:r>
      <w:r w:rsidR="00B13B74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>провераваће се путем симулације (усмено)</w:t>
      </w:r>
      <w:r w:rsidR="00CF04AD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417AC8" w:rsidRPr="00497E46" w:rsidRDefault="00E46C29" w:rsidP="00417AC8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Посебна функционална компетенција за одређено радно место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– </w:t>
      </w:r>
      <w:r w:rsidR="003933B9" w:rsidRPr="00497E46">
        <w:rPr>
          <w:rFonts w:ascii="Times New Roman" w:eastAsia="Times New Roman" w:hAnsi="Times New Roman"/>
          <w:sz w:val="24"/>
          <w:szCs w:val="24"/>
          <w:lang w:val="sr-Cyrl-RS"/>
        </w:rPr>
        <w:t>прописи из делокруга радног места (</w:t>
      </w:r>
      <w:r w:rsidR="00685B4E" w:rsidRPr="00497E46">
        <w:rPr>
          <w:rFonts w:ascii="Times New Roman" w:eastAsia="Times New Roman" w:hAnsi="Times New Roman"/>
          <w:sz w:val="24"/>
          <w:szCs w:val="24"/>
          <w:lang w:val="sr-Cyrl-RS"/>
        </w:rPr>
        <w:t>Правилник о садржини конкурсне документације у поступцима јавних набавки и Правилник о поступку отварања понуда</w:t>
      </w:r>
      <w:r w:rsidR="003933B9" w:rsidRPr="00497E46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417AC8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>провераваће се путем симулације (усмено)</w:t>
      </w:r>
      <w:r w:rsidR="009E6847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.</w:t>
      </w:r>
    </w:p>
    <w:p w:rsidR="007603A9" w:rsidRPr="00497E46" w:rsidRDefault="007603A9" w:rsidP="00417AC8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</w:p>
    <w:p w:rsidR="007603A9" w:rsidRPr="00497E46" w:rsidRDefault="007603A9" w:rsidP="000302A2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Информације о материјалима за припрему кандидата за проверу посебних функционалних компетенција могу се наћи на сајту Министарства финансија-Управе за дуван </w:t>
      </w:r>
      <w:hyperlink r:id="rId8" w:history="1">
        <w:r w:rsidR="000302A2" w:rsidRPr="00497E46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sr-Cyrl-RS"/>
          </w:rPr>
          <w:t>www.duvan.gov.rs</w:t>
        </w:r>
      </w:hyperlink>
      <w:r w:rsidR="000302A2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.</w:t>
      </w:r>
    </w:p>
    <w:p w:rsidR="00417AC8" w:rsidRPr="00497E46" w:rsidRDefault="00417AC8" w:rsidP="00417AC8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DE4C9F" w:rsidRPr="00497E46" w:rsidRDefault="006715F9" w:rsidP="00417AC8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3. </w:t>
      </w:r>
      <w:r w:rsidR="00DE4C9F"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Понашајне компетенције:</w:t>
      </w:r>
    </w:p>
    <w:p w:rsidR="00476DD1" w:rsidRPr="00497E46" w:rsidRDefault="00DE4C9F" w:rsidP="00417AC8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Понашајне компетенције (управљање информацијама, управљање задацима и остваривање резултата, оријентација ка учењу и променама, изградња и одржавање професионалних односа</w:t>
      </w:r>
      <w:r w:rsidR="00466E64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, 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савесност, посвећеност и интегритет) - провераваће се путем </w:t>
      </w:r>
      <w:r w:rsidR="00FD03D0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психометријских тестова</w:t>
      </w:r>
      <w:r w:rsidR="00030610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и путем интерв</w:t>
      </w:r>
      <w:r w:rsidR="00FD03D0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јуа базираног на компетенцијама.</w:t>
      </w:r>
    </w:p>
    <w:p w:rsidR="00B13B74" w:rsidRPr="00497E46" w:rsidRDefault="00B13B74" w:rsidP="009F5583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</w:p>
    <w:p w:rsidR="00DE4C9F" w:rsidRPr="00497E46" w:rsidRDefault="006715F9" w:rsidP="00417AC8">
      <w:pPr>
        <w:spacing w:after="0"/>
        <w:ind w:left="-284" w:right="-517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4. </w:t>
      </w:r>
      <w:r w:rsidR="009B0A5F"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Интервју са К</w:t>
      </w:r>
      <w:r w:rsidR="00DE4C9F"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омисијом и вредновање кандидата:</w:t>
      </w:r>
    </w:p>
    <w:p w:rsidR="00DE4C9F" w:rsidRPr="00497E46" w:rsidRDefault="00DE4C9F" w:rsidP="00417AC8">
      <w:pPr>
        <w:spacing w:after="0"/>
        <w:ind w:left="-284" w:right="-51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>Процена мотивације за рад на радном месту и прихватање вредности државних органа</w:t>
      </w:r>
      <w:r w:rsidR="000302A2"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провераваће се путем интервју</w:t>
      </w:r>
      <w:r w:rsidR="009B0A5F" w:rsidRPr="00497E46">
        <w:rPr>
          <w:rFonts w:ascii="Times New Roman" w:eastAsia="Times New Roman" w:hAnsi="Times New Roman"/>
          <w:sz w:val="24"/>
          <w:szCs w:val="24"/>
          <w:lang w:val="sr-Cyrl-RS"/>
        </w:rPr>
        <w:t>а са К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>омисијом (усмено).</w:t>
      </w:r>
    </w:p>
    <w:p w:rsidR="00DE4C9F" w:rsidRPr="00497E46" w:rsidRDefault="00DE4C9F" w:rsidP="00417AC8">
      <w:pPr>
        <w:tabs>
          <w:tab w:val="left" w:pos="709"/>
          <w:tab w:val="left" w:pos="993"/>
        </w:tabs>
        <w:spacing w:after="0"/>
        <w:ind w:left="-284" w:right="-517"/>
        <w:jc w:val="both"/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lang w:val="sr-Cyrl-RS"/>
        </w:rPr>
      </w:pPr>
    </w:p>
    <w:p w:rsidR="00DE4C9F" w:rsidRPr="00497E46" w:rsidRDefault="00DE4C9F" w:rsidP="00417AC8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V</w:t>
      </w:r>
      <w:r w:rsidRPr="00497E4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Рок за подношење пријава: 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>рок за подношење пријава</w:t>
      </w: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>је</w:t>
      </w:r>
      <w:r w:rsidRPr="00497E46"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  <w:t xml:space="preserve"> 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>осам дана и почиње да тече наредног дана од дана објављивања у периодичном издању огласа Националне службе за запошљавање – листу „Послови“.</w:t>
      </w:r>
    </w:p>
    <w:p w:rsidR="00B13B74" w:rsidRPr="00497E46" w:rsidRDefault="00B13B74" w:rsidP="009F5583">
      <w:pPr>
        <w:tabs>
          <w:tab w:val="left" w:pos="720"/>
        </w:tabs>
        <w:spacing w:after="0"/>
        <w:ind w:right="-36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E4C9F" w:rsidRPr="00497E46" w:rsidRDefault="00DE4C9F" w:rsidP="00417AC8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VI Пријава на јавни конкурс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врши се на Обрасцу пријаве који је доступан на интернет презентацији Службе за управљање кадровима</w:t>
      </w:r>
      <w:r w:rsidR="003A1FBC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, интернет презентацији 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>Министарства финансија</w:t>
      </w:r>
      <w:r w:rsidR="006715F9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- Управе за дуван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или</w:t>
      </w:r>
      <w:r w:rsidR="002E469F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у п</w:t>
      </w:r>
      <w:r w:rsidR="00936B14" w:rsidRPr="00497E46">
        <w:rPr>
          <w:rFonts w:ascii="Times New Roman" w:eastAsia="Times New Roman" w:hAnsi="Times New Roman"/>
          <w:sz w:val="24"/>
          <w:szCs w:val="24"/>
          <w:lang w:val="sr-Cyrl-RS"/>
        </w:rPr>
        <w:t>росторијама</w:t>
      </w:r>
      <w:r w:rsidR="002E469F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Министарства финансија</w:t>
      </w:r>
      <w:r w:rsidR="002E469F" w:rsidRPr="00497E46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2E469F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Управе за дуван, </w:t>
      </w:r>
      <w:r w:rsidR="003933B9" w:rsidRPr="00497E46">
        <w:rPr>
          <w:rFonts w:ascii="Times New Roman" w:eastAsia="Times New Roman" w:hAnsi="Times New Roman"/>
          <w:sz w:val="24"/>
          <w:szCs w:val="24"/>
          <w:lang w:val="sr-Cyrl-RS"/>
        </w:rPr>
        <w:t>Балканска 53</w:t>
      </w:r>
      <w:r w:rsidR="002E469F" w:rsidRPr="00497E46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2E469F" w:rsidRPr="00497E46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</w:t>
      </w:r>
      <w:r w:rsidR="002E469F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Београд, </w:t>
      </w:r>
      <w:r w:rsidR="003933B9" w:rsidRPr="00497E46">
        <w:rPr>
          <w:rFonts w:ascii="Times New Roman" w:eastAsia="Times New Roman" w:hAnsi="Times New Roman"/>
          <w:sz w:val="24"/>
          <w:szCs w:val="24"/>
          <w:lang w:val="sr-Cyrl-RS"/>
        </w:rPr>
        <w:t>Савски венац</w:t>
      </w:r>
      <w:r w:rsidR="00F47DDE" w:rsidRPr="00497E46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у штампаној верзији.</w:t>
      </w:r>
    </w:p>
    <w:p w:rsidR="00DE4C9F" w:rsidRPr="00497E46" w:rsidRDefault="00DE4C9F" w:rsidP="00417AC8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>Приликом предаје пријаве на јавни конкурс, пријава добија шифру под којом подносилац пријаве учествује у даљем изборном пост</w:t>
      </w:r>
      <w:r w:rsidR="00025AA5" w:rsidRPr="00497E46">
        <w:rPr>
          <w:rFonts w:ascii="Times New Roman" w:eastAsia="Times New Roman" w:hAnsi="Times New Roman"/>
          <w:sz w:val="24"/>
          <w:szCs w:val="24"/>
          <w:lang w:val="sr-Cyrl-RS"/>
        </w:rPr>
        <w:t>упку. Шифра пријаве уноси се у о</w:t>
      </w:r>
      <w:r w:rsidR="009B0A5F" w:rsidRPr="00497E46">
        <w:rPr>
          <w:rFonts w:ascii="Times New Roman" w:eastAsia="Times New Roman" w:hAnsi="Times New Roman"/>
          <w:sz w:val="24"/>
          <w:szCs w:val="24"/>
          <w:lang w:val="sr-Cyrl-RS"/>
        </w:rPr>
        <w:t>бразац пријаве након што К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>омисија састави списак кандидата међу којима се спроводи изборни поступак.</w:t>
      </w:r>
    </w:p>
    <w:p w:rsidR="00DE4C9F" w:rsidRPr="00497E46" w:rsidRDefault="00DE4C9F" w:rsidP="00417AC8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Подносиоци пријаве се обавештавају о додељеној шифри у року од три дана од пријема пријаве, достављањем </w:t>
      </w:r>
      <w:r w:rsidR="002E469F" w:rsidRPr="00497E46">
        <w:rPr>
          <w:rFonts w:ascii="Times New Roman" w:eastAsia="Times New Roman" w:hAnsi="Times New Roman"/>
          <w:sz w:val="24"/>
          <w:szCs w:val="24"/>
          <w:lang w:val="sr-Cyrl-RS"/>
        </w:rPr>
        <w:t>наведеног податка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на начин </w:t>
      </w:r>
      <w:r w:rsidR="002E469F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на 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>који је</w:t>
      </w:r>
      <w:r w:rsidR="002E469F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у пријави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назначио за доставу обавештења.</w:t>
      </w:r>
    </w:p>
    <w:p w:rsidR="007603A9" w:rsidRPr="00497E46" w:rsidRDefault="007603A9" w:rsidP="00417AC8">
      <w:pPr>
        <w:spacing w:after="0"/>
        <w:ind w:left="-284" w:right="-375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E07CD" w:rsidRPr="00497E46" w:rsidRDefault="008E07CD" w:rsidP="00417AC8">
      <w:pPr>
        <w:spacing w:after="0"/>
        <w:ind w:left="-284" w:right="-375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Напомена: </w:t>
      </w:r>
    </w:p>
    <w:p w:rsidR="000302A2" w:rsidRPr="00497E46" w:rsidRDefault="008E07CD" w:rsidP="000302A2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>Пример правилно попуњеног обрасца пријаве се може погледати на блогу Службе за управљање кадровима (</w:t>
      </w:r>
      <w:hyperlink r:id="rId9" w:history="1">
        <w:r w:rsidR="000302A2" w:rsidRPr="00497E46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https://kutak.suk.gov.rs/vodic-za-kandidate</w:t>
        </w:r>
      </w:hyperlink>
      <w:r w:rsidR="000302A2" w:rsidRPr="00497E46">
        <w:rPr>
          <w:rFonts w:ascii="Times New Roman" w:eastAsia="Times New Roman" w:hAnsi="Times New Roman"/>
          <w:sz w:val="24"/>
          <w:szCs w:val="24"/>
          <w:lang w:val="sr-Cyrl-RS"/>
        </w:rPr>
        <w:t>) у одељку ,,Образац пријаве''.</w:t>
      </w:r>
    </w:p>
    <w:p w:rsidR="008E07CD" w:rsidRPr="00497E46" w:rsidRDefault="008E07CD" w:rsidP="008E07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E4C9F" w:rsidRPr="00497E46" w:rsidRDefault="00DE4C9F" w:rsidP="00417AC8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VII</w:t>
      </w:r>
      <w:r w:rsidRPr="00497E4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Докази које прилажу кандидати који су успешно прошли фазе изборног поступка пре интервјуа са К</w:t>
      </w:r>
      <w:r w:rsidR="009B0A5F" w:rsidRPr="00497E4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sr-Cyrl-RS"/>
        </w:rPr>
        <w:t>о</w:t>
      </w:r>
      <w:r w:rsidRPr="00497E4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sr-Cyrl-RS"/>
        </w:rPr>
        <w:t>мисијом:</w:t>
      </w:r>
      <w:r w:rsidRPr="00497E46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val="sr-Cyrl-RS"/>
        </w:rPr>
        <w:t> 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дипломе којом се потврђује стручна спрема;</w:t>
      </w:r>
      <w:r w:rsidRPr="00497E46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>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 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</w:t>
      </w:r>
    </w:p>
    <w:p w:rsidR="00DE4C9F" w:rsidRPr="00497E46" w:rsidRDefault="00DE4C9F" w:rsidP="007603A9">
      <w:pPr>
        <w:shd w:val="clear" w:color="auto" w:fill="FFFFFF"/>
        <w:spacing w:after="0"/>
        <w:ind w:left="-284" w:right="-37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општинскоj управи. </w:t>
      </w:r>
      <w:r w:rsidR="000C0480" w:rsidRPr="00497E46">
        <w:rPr>
          <w:rFonts w:ascii="Times New Roman" w:eastAsia="Times New Roman" w:hAnsi="Times New Roman"/>
          <w:sz w:val="24"/>
          <w:szCs w:val="24"/>
          <w:lang w:val="sr-Cyrl-RS"/>
        </w:rPr>
        <w:t>Фотокопије докумената које нису оверене од надлежног органа неће се разматрати.</w:t>
      </w:r>
    </w:p>
    <w:p w:rsidR="00DE4C9F" w:rsidRPr="00497E46" w:rsidRDefault="00DE4C9F" w:rsidP="007603A9">
      <w:pPr>
        <w:shd w:val="clear" w:color="auto" w:fill="FFFFFF"/>
        <w:spacing w:after="0"/>
        <w:ind w:left="-284" w:right="-375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E4C9F" w:rsidRPr="00497E46" w:rsidRDefault="00DE4C9F" w:rsidP="007603A9">
      <w:pPr>
        <w:shd w:val="clear" w:color="auto" w:fill="FFFFFF"/>
        <w:spacing w:after="0"/>
        <w:ind w:left="-284" w:right="-3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RS"/>
        </w:rPr>
        <w:t>Напомена: </w:t>
      </w:r>
      <w:r w:rsidRPr="00497E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органима, односно уверење о положеном правосудном испиту.</w:t>
      </w:r>
    </w:p>
    <w:p w:rsidR="001D4E7B" w:rsidRDefault="00DE4C9F" w:rsidP="001D4E7B">
      <w:pPr>
        <w:shd w:val="clear" w:color="auto" w:fill="FFFFFF"/>
        <w:spacing w:after="0"/>
        <w:ind w:left="-284" w:right="-3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Законом о општем управном поступку („Службени гласник РС“, број: 18/16</w:t>
      </w:r>
      <w:r w:rsidR="00874F68" w:rsidRPr="00497E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, 95/18-аут. </w:t>
      </w:r>
      <w:r w:rsidR="00B13B74" w:rsidRPr="00497E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тумачење и 2/23-одлука УС</w:t>
      </w:r>
      <w:r w:rsidRPr="00497E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 Потребно је да учесник конкурса у делу Изјава*, у обрасцу пријаве, заокружи на који начин жели да се прибаве његови подаци из службених евиденција.</w:t>
      </w:r>
    </w:p>
    <w:p w:rsidR="00DE4C9F" w:rsidRDefault="009B6395" w:rsidP="001D4E7B">
      <w:pPr>
        <w:shd w:val="clear" w:color="auto" w:fill="FFFFFF"/>
        <w:spacing w:after="0"/>
        <w:ind w:left="-284" w:right="-3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  <w:r w:rsidRPr="009768F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Пример правилно попуњене потврде од послодавца се може погледати на блогу Службе за управљање кадровима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(</w:t>
      </w:r>
      <w:hyperlink r:id="rId10" w:history="1">
        <w:r w:rsidRPr="009B6395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https://kutak.suk.gov.rs/vodic-za-kandidate</w:t>
        </w:r>
      </w:hyperlink>
      <w:r>
        <w:rPr>
          <w:rStyle w:val="Hyperlink"/>
          <w:rFonts w:ascii="Times New Roman" w:hAnsi="Times New Roman"/>
          <w:sz w:val="24"/>
          <w:szCs w:val="24"/>
          <w:lang w:val="sr-Cyrl-RS"/>
        </w:rPr>
        <w:t>)</w:t>
      </w:r>
      <w:r w:rsidRPr="009768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68F2">
        <w:rPr>
          <w:rFonts w:ascii="Times New Roman" w:hAnsi="Times New Roman"/>
          <w:color w:val="000000"/>
          <w:sz w:val="24"/>
          <w:szCs w:val="24"/>
          <w:lang w:val="sr-Cyrl-RS"/>
        </w:rPr>
        <w:t>у одељку „Предаја докумената“, где можете преузети шаблон потврде коју послодавац може да попуни.</w:t>
      </w:r>
    </w:p>
    <w:p w:rsidR="001D4E7B" w:rsidRPr="001D4E7B" w:rsidRDefault="001D4E7B" w:rsidP="001D4E7B">
      <w:pPr>
        <w:shd w:val="clear" w:color="auto" w:fill="FFFFFF"/>
        <w:spacing w:after="0"/>
        <w:ind w:left="-284" w:right="-3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DE4C9F" w:rsidRPr="00497E46" w:rsidRDefault="00DE4C9F" w:rsidP="007603A9">
      <w:pPr>
        <w:shd w:val="clear" w:color="auto" w:fill="FFFFFF"/>
        <w:spacing w:after="0"/>
        <w:ind w:left="-284" w:right="-375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VII</w:t>
      </w:r>
      <w:r w:rsidR="000B017A"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I</w:t>
      </w:r>
      <w:r w:rsidRPr="00497E46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val="sr-Cyrl-RS"/>
        </w:rPr>
        <w:t xml:space="preserve"> </w:t>
      </w:r>
      <w:r w:rsidRPr="00497E4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sr-Cyrl-RS"/>
        </w:rPr>
        <w:t>Рок за подношење доказа: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> кандидати који су успешно прошли претходне фазе избо</w:t>
      </w:r>
      <w:r w:rsidR="000302A2" w:rsidRPr="00497E46">
        <w:rPr>
          <w:rFonts w:ascii="Times New Roman" w:eastAsia="Times New Roman" w:hAnsi="Times New Roman"/>
          <w:sz w:val="24"/>
          <w:szCs w:val="24"/>
          <w:lang w:val="sr-Cyrl-RS"/>
        </w:rPr>
        <w:t>рног поступка, пре интервјуа са</w:t>
      </w:r>
      <w:r w:rsidR="009B0A5F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К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омисијом позивају се да у року од пет радних дана од дана пријема обавештења доставе наведене доказе који се прилажу у конкурсном поступку. </w:t>
      </w:r>
    </w:p>
    <w:p w:rsidR="00DE4C9F" w:rsidRPr="00497E46" w:rsidRDefault="00DE4C9F" w:rsidP="007603A9">
      <w:pPr>
        <w:shd w:val="clear" w:color="auto" w:fill="FFFFFF"/>
        <w:spacing w:after="0"/>
        <w:ind w:left="-284" w:right="-37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</w:t>
      </w:r>
      <w:r w:rsidR="0007451B" w:rsidRPr="00497E46">
        <w:rPr>
          <w:rFonts w:ascii="Times New Roman" w:eastAsia="Times New Roman" w:hAnsi="Times New Roman"/>
          <w:sz w:val="24"/>
          <w:szCs w:val="24"/>
          <w:lang w:val="sr-Cyrl-RS"/>
        </w:rPr>
        <w:t>аним путем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се обавештавају да су искључени из даљег изборног поступка. Докази се достављају на адресу Министарства финансија</w:t>
      </w:r>
      <w:r w:rsidR="00F634F5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-</w:t>
      </w:r>
      <w:r w:rsidR="00F634F5" w:rsidRPr="00497E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34F5" w:rsidRPr="00497E46">
        <w:rPr>
          <w:rFonts w:ascii="Times New Roman" w:eastAsia="Times New Roman" w:hAnsi="Times New Roman"/>
          <w:sz w:val="24"/>
          <w:szCs w:val="24"/>
          <w:lang w:val="sr-Cyrl-RS"/>
        </w:rPr>
        <w:t>Управе за дуван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3933B9" w:rsidRPr="00497E46">
        <w:rPr>
          <w:rFonts w:ascii="Times New Roman" w:eastAsia="Times New Roman" w:hAnsi="Times New Roman"/>
          <w:sz w:val="24"/>
          <w:szCs w:val="24"/>
          <w:lang w:val="sr-Cyrl-RS"/>
        </w:rPr>
        <w:t>Балканска 53</w:t>
      </w:r>
      <w:r w:rsidR="00874F68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, Београд, </w:t>
      </w:r>
      <w:r w:rsidR="003933B9" w:rsidRPr="00497E46">
        <w:rPr>
          <w:rFonts w:ascii="Times New Roman" w:eastAsia="Times New Roman" w:hAnsi="Times New Roman"/>
          <w:sz w:val="24"/>
          <w:szCs w:val="24"/>
          <w:lang w:val="sr-Cyrl-RS"/>
        </w:rPr>
        <w:t>Савски венац</w:t>
      </w:r>
      <w:r w:rsidR="00874F68" w:rsidRPr="00497E4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DE4C9F" w:rsidRPr="00497E46" w:rsidRDefault="00DE4C9F" w:rsidP="007603A9">
      <w:pPr>
        <w:shd w:val="clear" w:color="auto" w:fill="FFFFFF"/>
        <w:spacing w:after="0"/>
        <w:ind w:left="-284" w:right="-375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DE4C9F" w:rsidRPr="00497E46" w:rsidRDefault="00DE4C9F" w:rsidP="007603A9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lastRenderedPageBreak/>
        <w:t>IX</w:t>
      </w:r>
      <w:r w:rsidRPr="00497E46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497E4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Датум и место провере компетенција учесника конкурса у изборном поступку:</w:t>
      </w:r>
      <w:r w:rsidRPr="00497E4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 с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</w:t>
      </w:r>
      <w:r w:rsidRPr="008D44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од </w:t>
      </w:r>
      <w:r w:rsidR="0007451B" w:rsidRPr="008D44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3</w:t>
      </w:r>
      <w:r w:rsidR="00E46C29" w:rsidRPr="008D44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. </w:t>
      </w:r>
      <w:r w:rsidR="0007451B" w:rsidRPr="008D44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јуна</w:t>
      </w:r>
      <w:r w:rsidR="00E46C29" w:rsidRPr="008D44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202</w:t>
      </w:r>
      <w:r w:rsidR="000302A2" w:rsidRPr="008D44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4</w:t>
      </w:r>
      <w:r w:rsidR="004F6114" w:rsidRPr="008D44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.</w:t>
      </w:r>
      <w:r w:rsidR="004F6114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године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, о чему ће кандидати бити обавештени на бројеве телефона или електронске адресе које су навели у својим пријавама.</w:t>
      </w:r>
    </w:p>
    <w:p w:rsidR="007831A3" w:rsidRPr="00497E46" w:rsidRDefault="00FE284B" w:rsidP="007603A9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Провера општих функционалних компетенција, посебних функционалних компетенција, понашај</w:t>
      </w:r>
      <w:r w:rsidR="009B0A5F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них компетенција и интервју са К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омисијом ће се обавити у Служби за управљање кадровима</w:t>
      </w:r>
      <w:r w:rsidR="00DE4C9F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, у Палати „Србија“, Нови Београд, Булевар Михајла Пупина број 2 (источно крило)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и</w:t>
      </w:r>
      <w:r w:rsidR="00DE4C9F" w:rsidRPr="00497E46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sr-Cyrl-RS"/>
        </w:rPr>
        <w:t xml:space="preserve"> </w:t>
      </w:r>
      <w:r w:rsidR="00DE4C9F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у просторијама Министарства финансија</w:t>
      </w:r>
      <w:r w:rsidR="00386657" w:rsidRPr="00497E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6657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-Управе за дуван, </w:t>
      </w:r>
      <w:r w:rsidR="000302A2" w:rsidRPr="00497E46">
        <w:rPr>
          <w:rFonts w:ascii="Times New Roman" w:eastAsia="Times New Roman" w:hAnsi="Times New Roman"/>
          <w:sz w:val="24"/>
          <w:szCs w:val="24"/>
          <w:lang w:val="sr-Cyrl-RS"/>
        </w:rPr>
        <w:t>Балканска 53</w:t>
      </w:r>
      <w:r w:rsidR="000F2E2C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, Београд, </w:t>
      </w:r>
      <w:r w:rsidR="000302A2" w:rsidRPr="00497E46">
        <w:rPr>
          <w:rFonts w:ascii="Times New Roman" w:eastAsia="Times New Roman" w:hAnsi="Times New Roman"/>
          <w:sz w:val="24"/>
          <w:szCs w:val="24"/>
          <w:lang w:val="sr-Cyrl-RS"/>
        </w:rPr>
        <w:t>Савски венац</w:t>
      </w:r>
      <w:r w:rsidR="00DE4C9F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елект</w:t>
      </w:r>
      <w:r w:rsidR="009A78DE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р</w:t>
      </w:r>
      <w:r w:rsidR="00DE4C9F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онске адресе), које наведу у својим пријавама.</w:t>
      </w:r>
    </w:p>
    <w:p w:rsidR="00B15278" w:rsidRPr="00497E46" w:rsidRDefault="00B15278" w:rsidP="007603A9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sr-Cyrl-RS"/>
        </w:rPr>
      </w:pPr>
    </w:p>
    <w:p w:rsidR="00DE4C9F" w:rsidRPr="00497E46" w:rsidRDefault="00DE4C9F" w:rsidP="007603A9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X</w:t>
      </w:r>
      <w:r w:rsidRPr="00497E4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Општи услови за запослење: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DE4C9F" w:rsidRPr="00497E46" w:rsidRDefault="00DE4C9F" w:rsidP="009F5583">
      <w:pPr>
        <w:tabs>
          <w:tab w:val="left" w:pos="720"/>
        </w:tabs>
        <w:spacing w:after="0"/>
        <w:ind w:right="-36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E4C9F" w:rsidRPr="00497E46" w:rsidRDefault="00DE4C9F" w:rsidP="007603A9">
      <w:pPr>
        <w:tabs>
          <w:tab w:val="left" w:pos="720"/>
        </w:tabs>
        <w:spacing w:after="0"/>
        <w:ind w:left="-284" w:right="-3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XI</w:t>
      </w:r>
      <w:r w:rsidRPr="00497E4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Трајање радног односа:  </w:t>
      </w:r>
      <w:r w:rsidR="00386657" w:rsidRPr="00497E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Р</w:t>
      </w:r>
      <w:r w:rsidRPr="00497E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адни однос се заснива на неодређено време.</w:t>
      </w:r>
    </w:p>
    <w:p w:rsidR="00DE4C9F" w:rsidRPr="00497E46" w:rsidRDefault="00DE4C9F" w:rsidP="007603A9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DE4C9F" w:rsidRPr="00497E46" w:rsidRDefault="00DE4C9F" w:rsidP="007603A9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>XII Лица која су задужена за давање обавештења: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13B74" w:rsidRPr="00497E46">
        <w:rPr>
          <w:rFonts w:ascii="Times New Roman" w:eastAsia="Times New Roman" w:hAnsi="Times New Roman"/>
          <w:sz w:val="24"/>
          <w:szCs w:val="24"/>
          <w:lang w:val="sr-Cyrl-RS"/>
        </w:rPr>
        <w:t>Ана Живановић</w:t>
      </w:r>
      <w:r w:rsidR="00386657" w:rsidRPr="00497E46">
        <w:rPr>
          <w:rFonts w:ascii="Times New Roman" w:eastAsia="Times New Roman" w:hAnsi="Times New Roman"/>
          <w:sz w:val="24"/>
          <w:szCs w:val="24"/>
          <w:lang w:val="sr-Cyrl-RS"/>
        </w:rPr>
        <w:t>, телефон 011/</w:t>
      </w:r>
      <w:r w:rsidR="000302A2" w:rsidRPr="00497E46">
        <w:rPr>
          <w:rFonts w:ascii="Times New Roman" w:eastAsia="Times New Roman" w:hAnsi="Times New Roman"/>
          <w:sz w:val="24"/>
          <w:szCs w:val="24"/>
          <w:lang w:val="sr-Cyrl-RS"/>
        </w:rPr>
        <w:t>765</w:t>
      </w:r>
      <w:r w:rsidR="009D5020" w:rsidRPr="00497E46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0302A2" w:rsidRPr="00497E46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="009D5020" w:rsidRPr="00497E46">
        <w:rPr>
          <w:rFonts w:ascii="Times New Roman" w:eastAsia="Times New Roman" w:hAnsi="Times New Roman"/>
          <w:sz w:val="24"/>
          <w:szCs w:val="24"/>
          <w:lang w:val="sr-Cyrl-RS"/>
        </w:rPr>
        <w:t>808</w:t>
      </w:r>
      <w:r w:rsidR="000302A2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и Јелена Марковић, телефон </w:t>
      </w:r>
      <w:r w:rsidR="000302A2" w:rsidRPr="00497E46">
        <w:rPr>
          <w:rFonts w:ascii="Times New Roman" w:hAnsi="Times New Roman"/>
          <w:color w:val="000000"/>
          <w:sz w:val="24"/>
          <w:szCs w:val="24"/>
          <w:lang w:val="sr-Cyrl-RS"/>
        </w:rPr>
        <w:t>011/7652-807.</w:t>
      </w:r>
    </w:p>
    <w:p w:rsidR="00DE4C9F" w:rsidRPr="00497E46" w:rsidRDefault="00DE4C9F" w:rsidP="009F5583">
      <w:pPr>
        <w:tabs>
          <w:tab w:val="left" w:pos="709"/>
          <w:tab w:val="left" w:pos="993"/>
        </w:tabs>
        <w:spacing w:after="0"/>
        <w:ind w:left="709" w:right="-36"/>
        <w:jc w:val="both"/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lang w:val="sr-Cyrl-RS"/>
        </w:rPr>
      </w:pPr>
    </w:p>
    <w:p w:rsidR="00DE4C9F" w:rsidRPr="00497E46" w:rsidRDefault="00DE4C9F" w:rsidP="007603A9">
      <w:pPr>
        <w:tabs>
          <w:tab w:val="left" w:pos="720"/>
          <w:tab w:val="left" w:pos="851"/>
        </w:tabs>
        <w:spacing w:after="0"/>
        <w:ind w:left="-284" w:right="-375"/>
        <w:jc w:val="both"/>
        <w:rPr>
          <w:rFonts w:ascii="Times New Roman" w:eastAsia="Times New Roman" w:hAnsi="Times New Roman"/>
          <w:b/>
          <w:sz w:val="24"/>
          <w:szCs w:val="24"/>
          <w:highlight w:val="green"/>
          <w:lang w:val="sr-Cyrl-RS"/>
        </w:rPr>
      </w:pPr>
      <w:r w:rsidRPr="00497E4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XIII Адреса на коју се подноси попуњен образац пријаве на конкурс: 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Пријаве на конкурс шаљу се поштом или предају непосредно </w:t>
      </w:r>
      <w:r w:rsidR="00F20DEA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у просторијама </w:t>
      </w:r>
      <w:r w:rsidR="00386657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Министарства финансија-Управе за дуван, </w:t>
      </w:r>
      <w:r w:rsidR="003933B9" w:rsidRPr="00497E46">
        <w:rPr>
          <w:rFonts w:ascii="Times New Roman" w:eastAsia="Times New Roman" w:hAnsi="Times New Roman"/>
          <w:sz w:val="24"/>
          <w:szCs w:val="24"/>
          <w:lang w:val="sr-Cyrl-RS"/>
        </w:rPr>
        <w:t>Балканска 53</w:t>
      </w:r>
      <w:r w:rsidR="000F2E2C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, 11000 Београд, </w:t>
      </w:r>
      <w:r w:rsidR="003933B9" w:rsidRPr="00497E46">
        <w:rPr>
          <w:rFonts w:ascii="Times New Roman" w:eastAsia="Times New Roman" w:hAnsi="Times New Roman"/>
          <w:sz w:val="24"/>
          <w:szCs w:val="24"/>
          <w:lang w:val="sr-Cyrl-RS"/>
        </w:rPr>
        <w:t>Савски венац</w:t>
      </w:r>
      <w:r w:rsidR="00386657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, са назнаком: 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>„За јавни конкурс за попуњавање извршилачк</w:t>
      </w:r>
      <w:r w:rsidR="000D3256" w:rsidRPr="00497E46">
        <w:rPr>
          <w:rFonts w:ascii="Times New Roman" w:eastAsia="Times New Roman" w:hAnsi="Times New Roman"/>
          <w:sz w:val="24"/>
          <w:szCs w:val="24"/>
          <w:lang w:val="sr-Cyrl-RS"/>
        </w:rPr>
        <w:t>ог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радн</w:t>
      </w:r>
      <w:r w:rsidR="000D3256" w:rsidRPr="00497E46">
        <w:rPr>
          <w:rFonts w:ascii="Times New Roman" w:eastAsia="Times New Roman" w:hAnsi="Times New Roman"/>
          <w:sz w:val="24"/>
          <w:szCs w:val="24"/>
          <w:lang w:val="sr-Cyrl-RS"/>
        </w:rPr>
        <w:t>ог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места”. </w:t>
      </w:r>
    </w:p>
    <w:p w:rsidR="00DE4C9F" w:rsidRPr="00497E46" w:rsidRDefault="00DE4C9F" w:rsidP="009F5583">
      <w:pPr>
        <w:tabs>
          <w:tab w:val="left" w:pos="720"/>
        </w:tabs>
        <w:spacing w:after="0"/>
        <w:ind w:right="-36"/>
        <w:jc w:val="both"/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lang w:val="sr-Cyrl-RS"/>
        </w:rPr>
      </w:pPr>
    </w:p>
    <w:p w:rsidR="00790D9E" w:rsidRPr="00497E46" w:rsidRDefault="00DE4C9F" w:rsidP="007603A9">
      <w:pPr>
        <w:spacing w:after="0"/>
        <w:ind w:left="-284" w:right="-375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sr-Cyrl-RS"/>
        </w:rPr>
        <w:t>НАПОМЕНE</w:t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br/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Чланом 9.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компетенција.</w:t>
      </w:r>
      <w:r w:rsidRPr="00497E46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sr-Cyrl-RS"/>
        </w:rPr>
        <w:t xml:space="preserve"> </w:t>
      </w:r>
    </w:p>
    <w:p w:rsidR="00790D9E" w:rsidRPr="00497E46" w:rsidRDefault="00DE4C9F" w:rsidP="007603A9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Кандидати који први пут заснивају радни однос у државном органу подлежу пробном раду </w:t>
      </w:r>
      <w:r w:rsidR="009027ED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у трајању од 6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месеци. Кандидати без положеног државног стручног испита примају се на рад под условом да тај испит положе до окончања пробног рада. </w:t>
      </w:r>
    </w:p>
    <w:p w:rsidR="00790D9E" w:rsidRPr="00497E46" w:rsidRDefault="00DE4C9F" w:rsidP="007603A9">
      <w:pPr>
        <w:spacing w:after="0"/>
        <w:ind w:left="-284" w:right="-375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Кандидати са положеним државним стручним испитом немају предност у изборном поступку у односу на кандидате без положеног државног стручног испита.</w:t>
      </w:r>
      <w:r w:rsidRPr="00497E46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sr-Cyrl-RS"/>
        </w:rPr>
        <w:t xml:space="preserve"> </w:t>
      </w:r>
    </w:p>
    <w:p w:rsidR="00114708" w:rsidRPr="00497E46" w:rsidRDefault="00DE4C9F" w:rsidP="007603A9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Пробни рад је обавезан за све који први пут заснивају радни однос у државном органу. Пробни рад за радни однос на неодређено време траје шест месеци.</w:t>
      </w:r>
    </w:p>
    <w:p w:rsidR="00DE4C9F" w:rsidRPr="00497E46" w:rsidRDefault="00DE4C9F" w:rsidP="007603A9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lastRenderedPageBreak/>
        <w:t>Државни службеник на пробном раду који је засновао радни однос на неодређено време, а који нема положен државни стручни испит, полаже државни стручни испит у року од шест месеци од дана заснивања радног односа.</w:t>
      </w:r>
    </w:p>
    <w:p w:rsidR="00DE4C9F" w:rsidRPr="00497E46" w:rsidRDefault="00DE4C9F" w:rsidP="009F5583">
      <w:pPr>
        <w:spacing w:after="0"/>
        <w:ind w:right="-36" w:firstLine="720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sr-Cyrl-RS"/>
        </w:rPr>
      </w:pPr>
    </w:p>
    <w:p w:rsidR="00DE4C9F" w:rsidRPr="00497E46" w:rsidRDefault="00DE4C9F" w:rsidP="007603A9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Неблаговремене, недопуштене, неразумљиве или непотпуне пријаве, биће одбачене решењем </w:t>
      </w:r>
      <w:r w:rsidR="00310E20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К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омисије. </w:t>
      </w:r>
    </w:p>
    <w:p w:rsidR="00DE4C9F" w:rsidRPr="00497E46" w:rsidRDefault="00DE4C9F" w:rsidP="007603A9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Јавни конкурс спроводи </w:t>
      </w:r>
      <w:r w:rsidR="009B0A5F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К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омисија коју је именовао </w:t>
      </w:r>
      <w:r w:rsidR="00B20179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директор</w:t>
      </w:r>
      <w:r w:rsidR="000D3256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Управе за дуван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. </w:t>
      </w:r>
    </w:p>
    <w:p w:rsidR="00DE4C9F" w:rsidRPr="00497E46" w:rsidRDefault="00DE4C9F" w:rsidP="000302A2">
      <w:pPr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Овај конкурс се објављује на интернет презентацији и огласној табли Министарства финансија</w:t>
      </w:r>
      <w:r w:rsidR="000D3256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- Управе за дуван</w:t>
      </w:r>
      <w:r w:rsidR="00B212E4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hyperlink r:id="rId11" w:history="1">
        <w:r w:rsidR="000302A2" w:rsidRPr="00497E46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www.duvan.gov.rs</w:t>
        </w:r>
      </w:hyperlink>
      <w:r w:rsidR="000302A2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,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на интерент презентацији Службе за управљање кадровима</w:t>
      </w:r>
      <w:r w:rsidR="00B212E4" w:rsidRPr="00497E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hyperlink r:id="rId12" w:history="1">
        <w:r w:rsidR="000302A2" w:rsidRPr="00497E46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www.suk.gov.rs</w:t>
        </w:r>
      </w:hyperlink>
      <w:r w:rsidR="00BA5C04"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, на порталу е-У</w:t>
      </w: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праве, на интернет презентацији, огласној табли и периодичном издању огласа Националне службе за запошљавање. </w:t>
      </w:r>
    </w:p>
    <w:p w:rsidR="00C634D0" w:rsidRPr="00497E46" w:rsidRDefault="00DE4C9F" w:rsidP="007603A9">
      <w:pPr>
        <w:ind w:left="-284" w:right="-517"/>
        <w:jc w:val="left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="00D559A6" w:rsidRPr="00497E4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</w:p>
    <w:p w:rsidR="0007451B" w:rsidRPr="00497E46" w:rsidRDefault="0007451B" w:rsidP="00E34C86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E34C86" w:rsidRPr="00497E46" w:rsidRDefault="00E34C86" w:rsidP="00E34C8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97E46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7831A3" w:rsidRPr="00497E46" w:rsidRDefault="007831A3" w:rsidP="009F5583">
      <w:pPr>
        <w:jc w:val="left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sectPr w:rsidR="007831A3" w:rsidRPr="00497E46" w:rsidSect="00DA6D1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926"/>
    <w:multiLevelType w:val="hybridMultilevel"/>
    <w:tmpl w:val="B24EF4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B22"/>
    <w:multiLevelType w:val="hybridMultilevel"/>
    <w:tmpl w:val="83A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3F63"/>
    <w:multiLevelType w:val="hybridMultilevel"/>
    <w:tmpl w:val="17929F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7E58"/>
    <w:multiLevelType w:val="hybridMultilevel"/>
    <w:tmpl w:val="96CA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79DD"/>
    <w:multiLevelType w:val="hybridMultilevel"/>
    <w:tmpl w:val="C2C21CF0"/>
    <w:lvl w:ilvl="0" w:tplc="F67CBDA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2023"/>
    <w:multiLevelType w:val="hybridMultilevel"/>
    <w:tmpl w:val="31C4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C3E76"/>
    <w:multiLevelType w:val="hybridMultilevel"/>
    <w:tmpl w:val="02A4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F257B"/>
    <w:multiLevelType w:val="hybridMultilevel"/>
    <w:tmpl w:val="4A4E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4AE6"/>
    <w:multiLevelType w:val="hybridMultilevel"/>
    <w:tmpl w:val="4370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37890"/>
    <w:multiLevelType w:val="hybridMultilevel"/>
    <w:tmpl w:val="FE164C1E"/>
    <w:lvl w:ilvl="0" w:tplc="8A7C19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168B0"/>
    <w:multiLevelType w:val="hybridMultilevel"/>
    <w:tmpl w:val="EBF26B06"/>
    <w:lvl w:ilvl="0" w:tplc="BECC4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6F30"/>
    <w:multiLevelType w:val="hybridMultilevel"/>
    <w:tmpl w:val="C0B46460"/>
    <w:lvl w:ilvl="0" w:tplc="1862CA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76075"/>
    <w:multiLevelType w:val="hybridMultilevel"/>
    <w:tmpl w:val="5088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65D11"/>
    <w:multiLevelType w:val="hybridMultilevel"/>
    <w:tmpl w:val="3608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074E1"/>
    <w:multiLevelType w:val="hybridMultilevel"/>
    <w:tmpl w:val="3B28E8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66FC0"/>
    <w:multiLevelType w:val="hybridMultilevel"/>
    <w:tmpl w:val="F6AA5E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60DC0"/>
    <w:multiLevelType w:val="hybridMultilevel"/>
    <w:tmpl w:val="15967BE0"/>
    <w:lvl w:ilvl="0" w:tplc="9B021F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512327"/>
    <w:multiLevelType w:val="hybridMultilevel"/>
    <w:tmpl w:val="4A86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15"/>
  </w:num>
  <w:num w:numId="10">
    <w:abstractNumId w:val="17"/>
  </w:num>
  <w:num w:numId="11">
    <w:abstractNumId w:val="11"/>
  </w:num>
  <w:num w:numId="12">
    <w:abstractNumId w:val="1"/>
  </w:num>
  <w:num w:numId="13">
    <w:abstractNumId w:val="13"/>
  </w:num>
  <w:num w:numId="14">
    <w:abstractNumId w:val="8"/>
  </w:num>
  <w:num w:numId="15">
    <w:abstractNumId w:val="12"/>
  </w:num>
  <w:num w:numId="16">
    <w:abstractNumId w:val="7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C9"/>
    <w:rsid w:val="000056F4"/>
    <w:rsid w:val="00006363"/>
    <w:rsid w:val="00013A93"/>
    <w:rsid w:val="00017EBB"/>
    <w:rsid w:val="00025AA5"/>
    <w:rsid w:val="000302A2"/>
    <w:rsid w:val="00030610"/>
    <w:rsid w:val="0003109C"/>
    <w:rsid w:val="000723D9"/>
    <w:rsid w:val="0007451B"/>
    <w:rsid w:val="00093BA1"/>
    <w:rsid w:val="000A5FE4"/>
    <w:rsid w:val="000B017A"/>
    <w:rsid w:val="000B659F"/>
    <w:rsid w:val="000C0480"/>
    <w:rsid w:val="000D3256"/>
    <w:rsid w:val="000E7C8E"/>
    <w:rsid w:val="000F2E2C"/>
    <w:rsid w:val="00102054"/>
    <w:rsid w:val="0010544E"/>
    <w:rsid w:val="0011066A"/>
    <w:rsid w:val="00114708"/>
    <w:rsid w:val="00122A7E"/>
    <w:rsid w:val="00141E8E"/>
    <w:rsid w:val="0015701B"/>
    <w:rsid w:val="00157AB3"/>
    <w:rsid w:val="00165BAC"/>
    <w:rsid w:val="00181DAE"/>
    <w:rsid w:val="0019228D"/>
    <w:rsid w:val="00196AA7"/>
    <w:rsid w:val="001A5329"/>
    <w:rsid w:val="001D4E7B"/>
    <w:rsid w:val="001E0D0E"/>
    <w:rsid w:val="001E3CD3"/>
    <w:rsid w:val="001F4F4F"/>
    <w:rsid w:val="002215D4"/>
    <w:rsid w:val="00233482"/>
    <w:rsid w:val="00254A36"/>
    <w:rsid w:val="00261624"/>
    <w:rsid w:val="00262CA2"/>
    <w:rsid w:val="00267AC7"/>
    <w:rsid w:val="00271C10"/>
    <w:rsid w:val="002768AA"/>
    <w:rsid w:val="00277763"/>
    <w:rsid w:val="002922AA"/>
    <w:rsid w:val="002B1032"/>
    <w:rsid w:val="002C4F67"/>
    <w:rsid w:val="002E2E0B"/>
    <w:rsid w:val="002E469F"/>
    <w:rsid w:val="002E604A"/>
    <w:rsid w:val="002F32BA"/>
    <w:rsid w:val="0030119B"/>
    <w:rsid w:val="00310E20"/>
    <w:rsid w:val="00344CF7"/>
    <w:rsid w:val="0036275A"/>
    <w:rsid w:val="00386657"/>
    <w:rsid w:val="003933B9"/>
    <w:rsid w:val="003A1FBC"/>
    <w:rsid w:val="003A2A4E"/>
    <w:rsid w:val="003C428D"/>
    <w:rsid w:val="003E3FCE"/>
    <w:rsid w:val="00403EAB"/>
    <w:rsid w:val="00417AC8"/>
    <w:rsid w:val="00435EC8"/>
    <w:rsid w:val="004558D6"/>
    <w:rsid w:val="00466E64"/>
    <w:rsid w:val="00476DD1"/>
    <w:rsid w:val="0048102C"/>
    <w:rsid w:val="00490E04"/>
    <w:rsid w:val="00497E46"/>
    <w:rsid w:val="004A07F5"/>
    <w:rsid w:val="004B2D39"/>
    <w:rsid w:val="004B457B"/>
    <w:rsid w:val="004B4E9A"/>
    <w:rsid w:val="004D44B8"/>
    <w:rsid w:val="004E108D"/>
    <w:rsid w:val="004E44E7"/>
    <w:rsid w:val="004F1B6D"/>
    <w:rsid w:val="004F6114"/>
    <w:rsid w:val="00506952"/>
    <w:rsid w:val="00523B52"/>
    <w:rsid w:val="0053718B"/>
    <w:rsid w:val="00543063"/>
    <w:rsid w:val="00543457"/>
    <w:rsid w:val="00543661"/>
    <w:rsid w:val="00544164"/>
    <w:rsid w:val="00544EC9"/>
    <w:rsid w:val="005455A3"/>
    <w:rsid w:val="00575278"/>
    <w:rsid w:val="00593959"/>
    <w:rsid w:val="00594B71"/>
    <w:rsid w:val="005B0BCA"/>
    <w:rsid w:val="005B27A7"/>
    <w:rsid w:val="005B44B4"/>
    <w:rsid w:val="005C340B"/>
    <w:rsid w:val="005D24BD"/>
    <w:rsid w:val="005D3003"/>
    <w:rsid w:val="006227CD"/>
    <w:rsid w:val="006323D1"/>
    <w:rsid w:val="0064217F"/>
    <w:rsid w:val="00646915"/>
    <w:rsid w:val="00654D0C"/>
    <w:rsid w:val="006715F9"/>
    <w:rsid w:val="00684393"/>
    <w:rsid w:val="006853F6"/>
    <w:rsid w:val="00685B4E"/>
    <w:rsid w:val="0069265F"/>
    <w:rsid w:val="0069790F"/>
    <w:rsid w:val="006B2591"/>
    <w:rsid w:val="006E04D9"/>
    <w:rsid w:val="006F0FF5"/>
    <w:rsid w:val="00706250"/>
    <w:rsid w:val="00731AEF"/>
    <w:rsid w:val="00735EE2"/>
    <w:rsid w:val="00745EA8"/>
    <w:rsid w:val="007603A9"/>
    <w:rsid w:val="007662ED"/>
    <w:rsid w:val="00767BAC"/>
    <w:rsid w:val="007831A3"/>
    <w:rsid w:val="00790D9E"/>
    <w:rsid w:val="007A393A"/>
    <w:rsid w:val="007C1DDC"/>
    <w:rsid w:val="007D1320"/>
    <w:rsid w:val="007E61ED"/>
    <w:rsid w:val="00807E42"/>
    <w:rsid w:val="00811030"/>
    <w:rsid w:val="008362CF"/>
    <w:rsid w:val="008378EE"/>
    <w:rsid w:val="00860FF1"/>
    <w:rsid w:val="00874F68"/>
    <w:rsid w:val="008A4B19"/>
    <w:rsid w:val="008D417A"/>
    <w:rsid w:val="008D44A6"/>
    <w:rsid w:val="008E07CD"/>
    <w:rsid w:val="009027ED"/>
    <w:rsid w:val="009359B2"/>
    <w:rsid w:val="00936B14"/>
    <w:rsid w:val="00937F4E"/>
    <w:rsid w:val="00993053"/>
    <w:rsid w:val="00995466"/>
    <w:rsid w:val="009A78DE"/>
    <w:rsid w:val="009B0A5F"/>
    <w:rsid w:val="009B1A39"/>
    <w:rsid w:val="009B6395"/>
    <w:rsid w:val="009C40A7"/>
    <w:rsid w:val="009D4920"/>
    <w:rsid w:val="009D5020"/>
    <w:rsid w:val="009E6847"/>
    <w:rsid w:val="009F5583"/>
    <w:rsid w:val="00A02A59"/>
    <w:rsid w:val="00A035FA"/>
    <w:rsid w:val="00A044F8"/>
    <w:rsid w:val="00A05F59"/>
    <w:rsid w:val="00A064F9"/>
    <w:rsid w:val="00A317FA"/>
    <w:rsid w:val="00A44AE5"/>
    <w:rsid w:val="00A82532"/>
    <w:rsid w:val="00A82B06"/>
    <w:rsid w:val="00A860F3"/>
    <w:rsid w:val="00A87555"/>
    <w:rsid w:val="00A9179C"/>
    <w:rsid w:val="00AB2FE1"/>
    <w:rsid w:val="00AB4875"/>
    <w:rsid w:val="00AD5941"/>
    <w:rsid w:val="00B02499"/>
    <w:rsid w:val="00B13B74"/>
    <w:rsid w:val="00B14243"/>
    <w:rsid w:val="00B145E1"/>
    <w:rsid w:val="00B15278"/>
    <w:rsid w:val="00B20179"/>
    <w:rsid w:val="00B212E4"/>
    <w:rsid w:val="00B30BF0"/>
    <w:rsid w:val="00B40B37"/>
    <w:rsid w:val="00B4301D"/>
    <w:rsid w:val="00B52439"/>
    <w:rsid w:val="00B5720C"/>
    <w:rsid w:val="00B610C9"/>
    <w:rsid w:val="00B6672D"/>
    <w:rsid w:val="00B7198A"/>
    <w:rsid w:val="00B824B4"/>
    <w:rsid w:val="00B842D6"/>
    <w:rsid w:val="00B84466"/>
    <w:rsid w:val="00B97448"/>
    <w:rsid w:val="00BA1ED3"/>
    <w:rsid w:val="00BA5C04"/>
    <w:rsid w:val="00BB7760"/>
    <w:rsid w:val="00C00B92"/>
    <w:rsid w:val="00C01C1F"/>
    <w:rsid w:val="00C02D44"/>
    <w:rsid w:val="00C054A9"/>
    <w:rsid w:val="00C37C5A"/>
    <w:rsid w:val="00C43776"/>
    <w:rsid w:val="00C51AE6"/>
    <w:rsid w:val="00C537C8"/>
    <w:rsid w:val="00C53FD3"/>
    <w:rsid w:val="00C6340F"/>
    <w:rsid w:val="00C634D0"/>
    <w:rsid w:val="00C66C51"/>
    <w:rsid w:val="00C66D2B"/>
    <w:rsid w:val="00C727F5"/>
    <w:rsid w:val="00C80136"/>
    <w:rsid w:val="00C841BA"/>
    <w:rsid w:val="00CA09B7"/>
    <w:rsid w:val="00CA2A87"/>
    <w:rsid w:val="00CB1EEC"/>
    <w:rsid w:val="00CB61E9"/>
    <w:rsid w:val="00CC6993"/>
    <w:rsid w:val="00CF04AD"/>
    <w:rsid w:val="00D12EC2"/>
    <w:rsid w:val="00D337DB"/>
    <w:rsid w:val="00D37869"/>
    <w:rsid w:val="00D52117"/>
    <w:rsid w:val="00D52552"/>
    <w:rsid w:val="00D559A6"/>
    <w:rsid w:val="00D86A77"/>
    <w:rsid w:val="00DA5A6B"/>
    <w:rsid w:val="00DA6D1D"/>
    <w:rsid w:val="00DC2161"/>
    <w:rsid w:val="00DE3F71"/>
    <w:rsid w:val="00DE4C9F"/>
    <w:rsid w:val="00E019B0"/>
    <w:rsid w:val="00E13A3F"/>
    <w:rsid w:val="00E321A8"/>
    <w:rsid w:val="00E34C86"/>
    <w:rsid w:val="00E46C29"/>
    <w:rsid w:val="00E549C4"/>
    <w:rsid w:val="00E6374C"/>
    <w:rsid w:val="00E65224"/>
    <w:rsid w:val="00E748FA"/>
    <w:rsid w:val="00EA25C2"/>
    <w:rsid w:val="00EA2890"/>
    <w:rsid w:val="00EB7F8E"/>
    <w:rsid w:val="00ED47BB"/>
    <w:rsid w:val="00EE1A2E"/>
    <w:rsid w:val="00EF4266"/>
    <w:rsid w:val="00F021BB"/>
    <w:rsid w:val="00F07280"/>
    <w:rsid w:val="00F07DDA"/>
    <w:rsid w:val="00F11559"/>
    <w:rsid w:val="00F20DEA"/>
    <w:rsid w:val="00F35BAA"/>
    <w:rsid w:val="00F44857"/>
    <w:rsid w:val="00F47DDE"/>
    <w:rsid w:val="00F634F5"/>
    <w:rsid w:val="00F6724C"/>
    <w:rsid w:val="00F774FE"/>
    <w:rsid w:val="00F816EB"/>
    <w:rsid w:val="00F87B15"/>
    <w:rsid w:val="00FB1EFF"/>
    <w:rsid w:val="00FC46BA"/>
    <w:rsid w:val="00FD03D0"/>
    <w:rsid w:val="00FD0AE7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9EF7-99B2-4186-8F70-3F503C6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2B"/>
    <w:pPr>
      <w:spacing w:after="200" w:line="276" w:lineRule="auto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Numbered List Paragraph,Numbered Paragraph,Main numbered paragraph,Colorful List - Accent 11,List_Paragraph,Multilevel para_II,List Paragraph1,Bullets,123 List Paragraph,List Paragraph nowy,Liste 1,Bullet paras,Citation List,Ha"/>
    <w:basedOn w:val="Normal"/>
    <w:link w:val="ListParagraphChar"/>
    <w:uiPriority w:val="34"/>
    <w:qFormat/>
    <w:rsid w:val="00A044F8"/>
    <w:pPr>
      <w:ind w:left="720"/>
      <w:contextualSpacing/>
    </w:pPr>
  </w:style>
  <w:style w:type="character" w:customStyle="1" w:styleId="ListParagraphChar">
    <w:name w:val="List Paragraph Char"/>
    <w:aliases w:val="References Char,Numbered List Paragraph Char,Numbered Paragraph Char,Main numbered paragraph Char,Colorful List - Accent 11 Char,List_Paragraph Char,Multilevel para_II Char,List Paragraph1 Char,Bullets Char,123 List Paragraph Char"/>
    <w:basedOn w:val="DefaultParagraphFont"/>
    <w:link w:val="ListParagraph"/>
    <w:uiPriority w:val="34"/>
    <w:qFormat/>
    <w:rsid w:val="00A044F8"/>
  </w:style>
  <w:style w:type="character" w:styleId="Strong">
    <w:name w:val="Strong"/>
    <w:uiPriority w:val="22"/>
    <w:qFormat/>
    <w:rsid w:val="00D559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5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44E7"/>
    <w:pPr>
      <w:jc w:val="center"/>
    </w:pPr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15701B"/>
    <w:pPr>
      <w:spacing w:after="120"/>
    </w:pPr>
  </w:style>
  <w:style w:type="character" w:customStyle="1" w:styleId="BodyTextChar">
    <w:name w:val="Body Text Char"/>
    <w:link w:val="BodyText"/>
    <w:uiPriority w:val="99"/>
    <w:rsid w:val="0015701B"/>
    <w:rPr>
      <w:sz w:val="22"/>
      <w:szCs w:val="22"/>
    </w:rPr>
  </w:style>
  <w:style w:type="character" w:styleId="Hyperlink">
    <w:name w:val="Hyperlink"/>
    <w:uiPriority w:val="99"/>
    <w:unhideWhenUsed/>
    <w:rsid w:val="000302A2"/>
    <w:rPr>
      <w:color w:val="0563C1"/>
      <w:u w:val="single"/>
    </w:rPr>
  </w:style>
  <w:style w:type="paragraph" w:styleId="Revision">
    <w:name w:val="Revision"/>
    <w:hidden/>
    <w:uiPriority w:val="99"/>
    <w:semiHidden/>
    <w:rsid w:val="009B6395"/>
    <w:rPr>
      <w:sz w:val="22"/>
      <w:szCs w:val="22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9B6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29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k.gov.rs" TargetMode="External"/><Relationship Id="rId12" Type="http://schemas.openxmlformats.org/officeDocument/2006/relationships/hyperlink" Target="http://www.suk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uvan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utak.suk.gov.rs/vodic-za-kandi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tak.suk.gov.rs/vodic-za-kandid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D936-1335-4EA5-82F0-52F5D8F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Links>
    <vt:vector size="36" baseType="variant">
      <vt:variant>
        <vt:i4>8323129</vt:i4>
      </vt:variant>
      <vt:variant>
        <vt:i4>15</vt:i4>
      </vt:variant>
      <vt:variant>
        <vt:i4>0</vt:i4>
      </vt:variant>
      <vt:variant>
        <vt:i4>5</vt:i4>
      </vt:variant>
      <vt:variant>
        <vt:lpwstr>http://www.suk.gov.rs/</vt:lpwstr>
      </vt:variant>
      <vt:variant>
        <vt:lpwstr/>
      </vt:variant>
      <vt:variant>
        <vt:i4>1769560</vt:i4>
      </vt:variant>
      <vt:variant>
        <vt:i4>12</vt:i4>
      </vt:variant>
      <vt:variant>
        <vt:i4>0</vt:i4>
      </vt:variant>
      <vt:variant>
        <vt:i4>5</vt:i4>
      </vt:variant>
      <vt:variant>
        <vt:lpwstr>http://www.duvan.gov.rs/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https://kutak.suk.gov.rs/vodic-za-kandidate</vt:lpwstr>
      </vt:variant>
      <vt:variant>
        <vt:lpwstr/>
      </vt:variant>
      <vt:variant>
        <vt:i4>7405607</vt:i4>
      </vt:variant>
      <vt:variant>
        <vt:i4>6</vt:i4>
      </vt:variant>
      <vt:variant>
        <vt:i4>0</vt:i4>
      </vt:variant>
      <vt:variant>
        <vt:i4>5</vt:i4>
      </vt:variant>
      <vt:variant>
        <vt:lpwstr>https://kutak.suk.gov.rs/vodic-za-kandidate</vt:lpwstr>
      </vt:variant>
      <vt:variant>
        <vt:lpwstr/>
      </vt:variant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http://www.duvan.gov.rs/</vt:lpwstr>
      </vt:variant>
      <vt:variant>
        <vt:lpwstr/>
      </vt:variant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http://www.suk.gov.rs/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cp:lastModifiedBy>Mirjana Radojevic 2</cp:lastModifiedBy>
  <cp:revision>2</cp:revision>
  <cp:lastPrinted>2024-05-08T06:20:00Z</cp:lastPrinted>
  <dcterms:created xsi:type="dcterms:W3CDTF">2024-05-15T08:03:00Z</dcterms:created>
  <dcterms:modified xsi:type="dcterms:W3CDTF">2024-05-15T08:03:00Z</dcterms:modified>
</cp:coreProperties>
</file>