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A01DA" w:rsidRPr="00A35434" w14:paraId="5F78612C" w14:textId="77777777" w:rsidTr="00BC307C">
        <w:trPr>
          <w:trHeight w:val="1659"/>
        </w:trPr>
        <w:tc>
          <w:tcPr>
            <w:tcW w:w="4822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2148B8B7" w:rsidR="00BA01DA" w:rsidRPr="00A35434" w:rsidRDefault="00F01408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F01408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4FBFEACE" w:rsidR="00BA01DA" w:rsidRPr="00A35434" w:rsidRDefault="009B407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68F626AC" w14:textId="043B75B2" w:rsidR="00B31E1F" w:rsidRDefault="00B31E1F" w:rsidP="00644647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47F29153" w:rsidR="00EC1947" w:rsidRPr="0028566B" w:rsidRDefault="00B340CE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>ЗАХТЕВ</w:t>
      </w:r>
    </w:p>
    <w:p w14:paraId="77B6C235" w14:textId="53D2DD43" w:rsidR="00B31E1F" w:rsidRPr="005331A2" w:rsidRDefault="00B340CE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ЗА</w:t>
      </w:r>
      <w:r w:rsidR="00DB5BE5" w:rsidRPr="005331A2">
        <w:rPr>
          <w:b/>
          <w:sz w:val="24"/>
          <w:lang w:val="sr-Cyrl-RS"/>
        </w:rPr>
        <w:t xml:space="preserve"> </w:t>
      </w:r>
      <w:r w:rsidR="00DB5BE5" w:rsidRPr="00DB5BE5">
        <w:rPr>
          <w:b/>
          <w:sz w:val="24"/>
          <w:lang w:val="sr-Cyrl-RS"/>
        </w:rPr>
        <w:t>ПРОМЕН</w:t>
      </w:r>
      <w:r>
        <w:rPr>
          <w:b/>
          <w:sz w:val="24"/>
          <w:lang w:val="sr-Cyrl-RS"/>
        </w:rPr>
        <w:t>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</w:t>
      </w:r>
      <w:r w:rsidR="002944C3">
        <w:rPr>
          <w:b/>
          <w:sz w:val="24"/>
        </w:rPr>
        <w:t xml:space="preserve">O </w:t>
      </w:r>
      <w:r w:rsidR="002944C3">
        <w:rPr>
          <w:b/>
          <w:sz w:val="24"/>
          <w:lang w:val="sr-Cyrl-RS"/>
        </w:rPr>
        <w:t>МАРКАМА</w:t>
      </w:r>
      <w:r w:rsidR="00E635F3">
        <w:rPr>
          <w:b/>
          <w:sz w:val="24"/>
          <w:lang w:val="sr-Cyrl-RS"/>
        </w:rPr>
        <w:t xml:space="preserve"> ДУВАНСКИХ ПРОИЗВОДА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07"/>
        <w:gridCol w:w="307"/>
        <w:gridCol w:w="307"/>
        <w:gridCol w:w="309"/>
        <w:gridCol w:w="307"/>
        <w:gridCol w:w="308"/>
        <w:gridCol w:w="308"/>
        <w:gridCol w:w="310"/>
        <w:gridCol w:w="421"/>
        <w:gridCol w:w="426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</w:tblGrid>
      <w:tr w:rsidR="00BA01DA" w:rsidRPr="00BA01DA" w14:paraId="0E660B76" w14:textId="77777777" w:rsidTr="005B133F">
        <w:trPr>
          <w:trHeight w:val="614"/>
        </w:trPr>
        <w:tc>
          <w:tcPr>
            <w:tcW w:w="3366" w:type="pct"/>
            <w:gridSpan w:val="10"/>
            <w:shd w:val="clear" w:color="auto" w:fill="E7E6E6"/>
            <w:vAlign w:val="center"/>
            <w:hideMark/>
          </w:tcPr>
          <w:p w14:paraId="426D880A" w14:textId="5293E92A" w:rsidR="00BA01DA" w:rsidRPr="00BA01DA" w:rsidRDefault="00BA01DA" w:rsidP="00243D1D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4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5B133F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783A87DE" w:rsidR="00410BE8" w:rsidRPr="00573EA5" w:rsidRDefault="004E308F" w:rsidP="00B340CE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B340CE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5B133F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5B133F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5B133F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5B133F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5B133F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5B133F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5B133F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884101" w:rsidRPr="00884101" w14:paraId="02A5291D" w14:textId="77777777" w:rsidTr="005B133F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19FE6AAB" w:rsidR="00884101" w:rsidRPr="00884101" w:rsidRDefault="00220313" w:rsidP="00220313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Назив робне марке дуванског производа 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714CB0BB" w14:textId="77777777" w:rsidTr="005B133F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6D8CB9BB" w:rsidR="00884101" w:rsidRPr="00884101" w:rsidRDefault="00220313" w:rsidP="00220313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Ближи опис изгледа и облика паковања дуванског производа 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514AE603" w14:textId="77777777" w:rsidTr="005B133F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4C3F7ED5" w:rsidR="00884101" w:rsidRPr="00884101" w:rsidRDefault="00220313" w:rsidP="002E2D7B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Број и датум акта </w:t>
            </w:r>
            <w:r w:rsidR="002E2D7B">
              <w:rPr>
                <w:lang w:val="sr-Cyrl-RS"/>
              </w:rPr>
              <w:t>другог надлежног органа (</w:t>
            </w:r>
            <w:r w:rsidR="002E2D7B" w:rsidRPr="006A54A9">
              <w:rPr>
                <w:color w:val="000000"/>
                <w:szCs w:val="20"/>
                <w:lang w:val="sr-Cyrl-RS"/>
              </w:rPr>
              <w:t>Заво</w:t>
            </w:r>
            <w:r w:rsidR="002E2D7B">
              <w:rPr>
                <w:color w:val="000000"/>
                <w:szCs w:val="20"/>
                <w:lang w:val="sr-Cyrl-RS"/>
              </w:rPr>
              <w:t>д за интелектуалну својину или други инострани или међународни</w:t>
            </w:r>
            <w:r w:rsidR="002E2D7B" w:rsidRPr="006A54A9">
              <w:rPr>
                <w:color w:val="000000"/>
                <w:szCs w:val="20"/>
                <w:lang w:val="sr-Cyrl-RS"/>
              </w:rPr>
              <w:t xml:space="preserve"> надлежни орган</w:t>
            </w:r>
            <w:r w:rsidR="002E2D7B">
              <w:rPr>
                <w:color w:val="000000"/>
                <w:szCs w:val="20"/>
                <w:lang w:val="sr-Cyrl-RS"/>
              </w:rPr>
              <w:t>)</w:t>
            </w:r>
            <w:r w:rsidR="002E2D7B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>о регистрацији робне марке</w:t>
            </w:r>
            <w:r w:rsidR="002E2D7B">
              <w:rPr>
                <w:lang w:val="sr-Cyrl-RS"/>
              </w:rPr>
              <w:t xml:space="preserve"> (ако је донет)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4B14FD9A" w14:textId="77777777" w:rsidTr="005B133F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4ABE3571" w:rsidR="00884101" w:rsidRPr="00884101" w:rsidRDefault="00220313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назива, седишта и адресе произвођача, односно увозника дуванских производа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7563285D" w14:textId="77777777" w:rsidTr="005B133F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7F51E9AA" w14:textId="6C35F477" w:rsidR="00884101" w:rsidRPr="00884101" w:rsidRDefault="00220313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 одговорног лица произвођача, односно увозника дуванских производа</w:t>
            </w:r>
          </w:p>
        </w:tc>
        <w:tc>
          <w:tcPr>
            <w:tcW w:w="1621" w:type="pct"/>
            <w:shd w:val="clear" w:color="auto" w:fill="auto"/>
            <w:noWrap/>
            <w:vAlign w:val="center"/>
            <w:hideMark/>
          </w:tcPr>
          <w:p w14:paraId="047E0E1B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  <w:r w:rsidRPr="00884101">
              <w:rPr>
                <w:lang w:val="sr-Cyrl-RS"/>
              </w:rPr>
              <w:t> 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14:paraId="72EFD249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  <w:r w:rsidRPr="00884101">
              <w:rPr>
                <w:lang w:val="sr-Cyrl-RS"/>
              </w:rPr>
              <w:t> </w:t>
            </w:r>
          </w:p>
        </w:tc>
      </w:tr>
      <w:tr w:rsidR="00884101" w:rsidRPr="00884101" w14:paraId="0B8B7B80" w14:textId="77777777" w:rsidTr="005B133F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78105CB6" w14:textId="58AA1901" w:rsidR="00884101" w:rsidRPr="00884101" w:rsidRDefault="00220313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Промена података о закљученим уговорима и овлашћењима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6C1A5BC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6DFFDB43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5B133F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56C26F32" w:rsidR="009073B2" w:rsidRDefault="00220313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5B133F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124D248D" w14:textId="4288954E" w:rsidR="00683396" w:rsidRDefault="00683396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73EA5">
        <w:rPr>
          <w:lang w:val="sr-Cyrl-RS"/>
        </w:rPr>
        <w:t xml:space="preserve">У прилогу </w:t>
      </w:r>
      <w:r w:rsidR="00B340CE">
        <w:rPr>
          <w:lang w:val="sr-Cyrl-RS"/>
        </w:rPr>
        <w:t>захтева</w:t>
      </w:r>
      <w:r w:rsidRPr="00573EA5">
        <w:rPr>
          <w:lang w:val="sr-Cyrl-RS"/>
        </w:rPr>
        <w:t>, достављам следећу документацију</w:t>
      </w:r>
      <w:r w:rsidR="00243D1D">
        <w:rPr>
          <w:lang w:val="sr-Cyrl-RS"/>
        </w:rPr>
        <w:t xml:space="preserve"> </w:t>
      </w:r>
      <w:r w:rsidR="00243D1D" w:rsidRPr="00E4058D">
        <w:rPr>
          <w:lang w:val="sr-Cyrl-RS"/>
        </w:rPr>
        <w:t>– заокружити редни број испред наведеног документа</w:t>
      </w:r>
      <w:r w:rsidR="00745F0C">
        <w:rPr>
          <w:lang w:val="sr-Cyrl-RS"/>
        </w:rPr>
        <w:t>:</w:t>
      </w:r>
    </w:p>
    <w:p w14:paraId="6723CC93" w14:textId="137AE4D9" w:rsidR="007513A5" w:rsidRPr="00745F0C" w:rsidRDefault="00745F0C" w:rsidP="00745F0C">
      <w:pPr>
        <w:pStyle w:val="ListParagraph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5F0C">
        <w:rPr>
          <w:rFonts w:ascii="Times New Roman" w:eastAsia="Times New Roman" w:hAnsi="Times New Roman"/>
          <w:sz w:val="24"/>
          <w:szCs w:val="24"/>
          <w:lang w:val="sr-Cyrl-RS"/>
        </w:rPr>
        <w:t>Решење о регистрацији привредног субјекта код надлежног органа за регистрацију;*</w:t>
      </w:r>
    </w:p>
    <w:p w14:paraId="21159164" w14:textId="664A83AF" w:rsidR="00220313" w:rsidRPr="00745F0C" w:rsidRDefault="00220313" w:rsidP="00745F0C">
      <w:pPr>
        <w:numPr>
          <w:ilvl w:val="0"/>
          <w:numId w:val="7"/>
        </w:numPr>
        <w:ind w:left="709"/>
        <w:jc w:val="both"/>
        <w:rPr>
          <w:rFonts w:eastAsia="Calibri"/>
          <w:sz w:val="24"/>
          <w:szCs w:val="24"/>
          <w:lang w:val="sr-Cyrl-RS"/>
        </w:rPr>
      </w:pPr>
      <w:proofErr w:type="spellStart"/>
      <w:r w:rsidRPr="00745F0C">
        <w:rPr>
          <w:rFonts w:eastAsia="Calibri"/>
          <w:sz w:val="24"/>
          <w:szCs w:val="24"/>
        </w:rPr>
        <w:t>Акт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r w:rsidR="0023132E" w:rsidRPr="00745F0C">
        <w:rPr>
          <w:rFonts w:eastAsia="Calibri"/>
          <w:sz w:val="24"/>
          <w:szCs w:val="24"/>
          <w:lang w:val="sr-Cyrl-RS"/>
        </w:rPr>
        <w:t xml:space="preserve">другог </w:t>
      </w:r>
      <w:proofErr w:type="spellStart"/>
      <w:r w:rsidRPr="00745F0C">
        <w:rPr>
          <w:rFonts w:eastAsia="Calibri"/>
          <w:sz w:val="24"/>
          <w:szCs w:val="24"/>
        </w:rPr>
        <w:t>надлежног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органа</w:t>
      </w:r>
      <w:proofErr w:type="spellEnd"/>
      <w:r w:rsidRPr="00745F0C">
        <w:rPr>
          <w:rFonts w:eastAsia="Calibri"/>
          <w:sz w:val="24"/>
          <w:szCs w:val="24"/>
        </w:rPr>
        <w:t xml:space="preserve"> о </w:t>
      </w:r>
      <w:proofErr w:type="spellStart"/>
      <w:r w:rsidRPr="00745F0C">
        <w:rPr>
          <w:rFonts w:eastAsia="Calibri"/>
          <w:sz w:val="24"/>
          <w:szCs w:val="24"/>
        </w:rPr>
        <w:t>регистрацији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робне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марке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дуванског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производа</w:t>
      </w:r>
      <w:proofErr w:type="spellEnd"/>
      <w:r w:rsidRPr="00745F0C">
        <w:rPr>
          <w:rFonts w:eastAsia="Calibri"/>
          <w:sz w:val="24"/>
          <w:szCs w:val="24"/>
          <w:lang w:val="sr-Cyrl-RS"/>
        </w:rPr>
        <w:t>, ако је донет;</w:t>
      </w:r>
    </w:p>
    <w:p w14:paraId="53777681" w14:textId="48A2CC80" w:rsidR="00220313" w:rsidRPr="00745F0C" w:rsidRDefault="00220313" w:rsidP="00745F0C">
      <w:pPr>
        <w:numPr>
          <w:ilvl w:val="0"/>
          <w:numId w:val="7"/>
        </w:numPr>
        <w:ind w:left="709"/>
        <w:jc w:val="both"/>
        <w:rPr>
          <w:rFonts w:eastAsia="Calibri"/>
          <w:sz w:val="24"/>
          <w:szCs w:val="24"/>
          <w:lang w:val="sr-Cyrl-RS"/>
        </w:rPr>
      </w:pPr>
      <w:proofErr w:type="spellStart"/>
      <w:r w:rsidRPr="00745F0C">
        <w:rPr>
          <w:rFonts w:eastAsia="Calibri"/>
          <w:sz w:val="24"/>
          <w:szCs w:val="24"/>
        </w:rPr>
        <w:t>Доказ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да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је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увозник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дуванских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производа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овлашћен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од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стране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иностраног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произвођача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дуванских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производа</w:t>
      </w:r>
      <w:proofErr w:type="spellEnd"/>
      <w:r w:rsidRPr="00745F0C">
        <w:rPr>
          <w:rFonts w:eastAsia="Calibri"/>
          <w:sz w:val="24"/>
          <w:szCs w:val="24"/>
        </w:rPr>
        <w:t xml:space="preserve">, </w:t>
      </w:r>
      <w:proofErr w:type="spellStart"/>
      <w:r w:rsidRPr="00745F0C">
        <w:rPr>
          <w:rFonts w:eastAsia="Calibri"/>
          <w:sz w:val="24"/>
          <w:szCs w:val="24"/>
        </w:rPr>
        <w:t>односно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његовог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овлашћеног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дистрибутера</w:t>
      </w:r>
      <w:proofErr w:type="spellEnd"/>
      <w:r w:rsidRPr="00745F0C">
        <w:rPr>
          <w:rFonts w:eastAsia="Calibri"/>
          <w:sz w:val="24"/>
          <w:szCs w:val="24"/>
          <w:lang w:val="sr-Cyrl-RS"/>
        </w:rPr>
        <w:t>,</w:t>
      </w:r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да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може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да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врши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дистрибуцију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дуванских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производа</w:t>
      </w:r>
      <w:proofErr w:type="spellEnd"/>
      <w:r w:rsidR="007513A5" w:rsidRPr="00745F0C">
        <w:rPr>
          <w:rFonts w:eastAsia="Calibri"/>
          <w:sz w:val="24"/>
          <w:szCs w:val="24"/>
          <w:lang w:val="sr-Cyrl-RS"/>
        </w:rPr>
        <w:t xml:space="preserve"> под промењеним називом</w:t>
      </w:r>
      <w:r w:rsidR="00E317D3" w:rsidRPr="00745F0C">
        <w:rPr>
          <w:rFonts w:eastAsia="Calibri"/>
          <w:sz w:val="24"/>
          <w:szCs w:val="24"/>
          <w:lang w:val="sr-Cyrl-RS"/>
        </w:rPr>
        <w:t>,</w:t>
      </w:r>
      <w:r w:rsidR="007513A5" w:rsidRPr="00745F0C">
        <w:rPr>
          <w:rFonts w:eastAsia="Calibri"/>
          <w:sz w:val="24"/>
          <w:szCs w:val="24"/>
          <w:lang w:val="sr-Cyrl-RS"/>
        </w:rPr>
        <w:t xml:space="preserve"> односно изгледом паковања</w:t>
      </w:r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на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територији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Републике</w:t>
      </w:r>
      <w:proofErr w:type="spellEnd"/>
      <w:r w:rsidRPr="00745F0C">
        <w:rPr>
          <w:rFonts w:eastAsia="Calibri"/>
          <w:sz w:val="24"/>
          <w:szCs w:val="24"/>
          <w:lang w:val="sr-Cyrl-RS"/>
        </w:rPr>
        <w:t xml:space="preserve"> Србије</w:t>
      </w:r>
      <w:r w:rsidR="007513A5" w:rsidRPr="00745F0C">
        <w:rPr>
          <w:rFonts w:eastAsia="Calibri"/>
          <w:sz w:val="24"/>
          <w:szCs w:val="24"/>
          <w:lang w:val="sr-Cyrl-RS"/>
        </w:rPr>
        <w:t>;</w:t>
      </w:r>
    </w:p>
    <w:p w14:paraId="55667617" w14:textId="6E44615D" w:rsidR="00D3766C" w:rsidRPr="00745F0C" w:rsidRDefault="00D3766C" w:rsidP="00745F0C">
      <w:pPr>
        <w:numPr>
          <w:ilvl w:val="0"/>
          <w:numId w:val="7"/>
        </w:numPr>
        <w:ind w:left="709"/>
        <w:jc w:val="both"/>
        <w:rPr>
          <w:rFonts w:eastAsia="Calibri"/>
          <w:sz w:val="24"/>
          <w:szCs w:val="24"/>
          <w:lang w:val="sr-Cyrl-RS"/>
        </w:rPr>
      </w:pPr>
      <w:r w:rsidRPr="00745F0C">
        <w:rPr>
          <w:rFonts w:eastAsia="Calibri"/>
          <w:sz w:val="24"/>
          <w:szCs w:val="24"/>
          <w:lang w:val="sr-Cyrl-RS"/>
        </w:rPr>
        <w:t>Уговор о увозу дуванских производа са промењеним иностраним произвођачем или његовим овлашћеним дистрибутером да може да врши дистрибуцију дуванског производа на територији Републике Србије;</w:t>
      </w:r>
    </w:p>
    <w:p w14:paraId="290A1027" w14:textId="11865762" w:rsidR="00220313" w:rsidRPr="00745F0C" w:rsidRDefault="00334586" w:rsidP="00745F0C">
      <w:pPr>
        <w:numPr>
          <w:ilvl w:val="0"/>
          <w:numId w:val="7"/>
        </w:numPr>
        <w:ind w:left="709"/>
        <w:jc w:val="both"/>
        <w:rPr>
          <w:rFonts w:eastAsia="Calibri"/>
          <w:sz w:val="24"/>
          <w:szCs w:val="24"/>
          <w:lang w:val="sr-Cyrl-RS"/>
        </w:rPr>
      </w:pPr>
      <w:proofErr w:type="spellStart"/>
      <w:r w:rsidRPr="00745F0C">
        <w:rPr>
          <w:rFonts w:eastAsia="Calibri"/>
          <w:sz w:val="24"/>
          <w:szCs w:val="24"/>
        </w:rPr>
        <w:t>Промењени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и</w:t>
      </w:r>
      <w:r w:rsidR="00220313" w:rsidRPr="00745F0C">
        <w:rPr>
          <w:rFonts w:eastAsia="Calibri"/>
          <w:sz w:val="24"/>
          <w:szCs w:val="24"/>
        </w:rPr>
        <w:t>зглед</w:t>
      </w:r>
      <w:proofErr w:type="spellEnd"/>
      <w:r w:rsidR="00220313" w:rsidRPr="00745F0C">
        <w:rPr>
          <w:rFonts w:eastAsia="Calibri"/>
          <w:sz w:val="24"/>
          <w:szCs w:val="24"/>
        </w:rPr>
        <w:t xml:space="preserve"> </w:t>
      </w:r>
      <w:proofErr w:type="spellStart"/>
      <w:r w:rsidR="00220313" w:rsidRPr="00745F0C">
        <w:rPr>
          <w:rFonts w:eastAsia="Calibri"/>
          <w:sz w:val="24"/>
          <w:szCs w:val="24"/>
        </w:rPr>
        <w:t>паковања</w:t>
      </w:r>
      <w:proofErr w:type="spellEnd"/>
      <w:r w:rsidR="00220313" w:rsidRPr="00745F0C">
        <w:rPr>
          <w:rFonts w:eastAsia="Calibri"/>
          <w:sz w:val="24"/>
          <w:szCs w:val="24"/>
          <w:lang w:val="sr-Cyrl-RS"/>
        </w:rPr>
        <w:t>;</w:t>
      </w:r>
    </w:p>
    <w:p w14:paraId="021A611E" w14:textId="14B0744F" w:rsidR="00220313" w:rsidRPr="00745F0C" w:rsidRDefault="00220313" w:rsidP="00745F0C">
      <w:pPr>
        <w:numPr>
          <w:ilvl w:val="0"/>
          <w:numId w:val="7"/>
        </w:numPr>
        <w:ind w:left="709"/>
        <w:jc w:val="both"/>
        <w:rPr>
          <w:rFonts w:eastAsia="Calibri"/>
          <w:sz w:val="24"/>
          <w:szCs w:val="24"/>
          <w:lang w:val="sr-Cyrl-RS"/>
        </w:rPr>
      </w:pPr>
      <w:proofErr w:type="spellStart"/>
      <w:r w:rsidRPr="00745F0C">
        <w:rPr>
          <w:rFonts w:eastAsia="Calibri"/>
          <w:sz w:val="24"/>
          <w:szCs w:val="24"/>
        </w:rPr>
        <w:t>Превод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r w:rsidR="008445A3" w:rsidRPr="00745F0C">
        <w:rPr>
          <w:rFonts w:eastAsia="Calibri"/>
          <w:sz w:val="24"/>
          <w:szCs w:val="24"/>
          <w:lang w:val="sr-Cyrl-RS"/>
        </w:rPr>
        <w:t xml:space="preserve">назива робне марке и </w:t>
      </w:r>
      <w:proofErr w:type="spellStart"/>
      <w:r w:rsidRPr="00745F0C">
        <w:rPr>
          <w:rFonts w:eastAsia="Calibri"/>
          <w:sz w:val="24"/>
          <w:szCs w:val="24"/>
        </w:rPr>
        <w:t>текста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наведеног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на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паковању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дуванског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производа</w:t>
      </w:r>
      <w:proofErr w:type="spellEnd"/>
      <w:r w:rsidRPr="00745F0C">
        <w:rPr>
          <w:rFonts w:eastAsia="Calibri"/>
          <w:sz w:val="24"/>
          <w:szCs w:val="24"/>
          <w:lang w:val="sr-Cyrl-RS"/>
        </w:rPr>
        <w:t>;</w:t>
      </w:r>
    </w:p>
    <w:p w14:paraId="7D5E8471" w14:textId="37AB67D5" w:rsidR="00220313" w:rsidRPr="00745F0C" w:rsidRDefault="00220313" w:rsidP="00745F0C">
      <w:pPr>
        <w:numPr>
          <w:ilvl w:val="0"/>
          <w:numId w:val="7"/>
        </w:numPr>
        <w:ind w:left="709"/>
        <w:jc w:val="both"/>
        <w:rPr>
          <w:rFonts w:eastAsia="Calibri"/>
          <w:sz w:val="24"/>
          <w:szCs w:val="24"/>
        </w:rPr>
      </w:pPr>
      <w:proofErr w:type="spellStart"/>
      <w:r w:rsidRPr="00745F0C">
        <w:rPr>
          <w:rFonts w:eastAsia="Calibri"/>
          <w:sz w:val="24"/>
          <w:szCs w:val="24"/>
        </w:rPr>
        <w:t>Доказ</w:t>
      </w:r>
      <w:proofErr w:type="spellEnd"/>
      <w:r w:rsidRPr="00745F0C">
        <w:rPr>
          <w:rFonts w:eastAsia="Calibri"/>
          <w:sz w:val="24"/>
          <w:szCs w:val="24"/>
        </w:rPr>
        <w:t xml:space="preserve"> о </w:t>
      </w:r>
      <w:proofErr w:type="spellStart"/>
      <w:r w:rsidRPr="00745F0C">
        <w:rPr>
          <w:rFonts w:eastAsia="Calibri"/>
          <w:sz w:val="24"/>
          <w:szCs w:val="24"/>
        </w:rPr>
        <w:t>уплати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републичке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административне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таксе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за</w:t>
      </w:r>
      <w:proofErr w:type="spellEnd"/>
      <w:r w:rsidRPr="00745F0C">
        <w:rPr>
          <w:rFonts w:eastAsia="Calibri"/>
          <w:sz w:val="24"/>
          <w:szCs w:val="24"/>
        </w:rPr>
        <w:t xml:space="preserve"> </w:t>
      </w:r>
      <w:proofErr w:type="spellStart"/>
      <w:r w:rsidRPr="00745F0C">
        <w:rPr>
          <w:rFonts w:eastAsia="Calibri"/>
          <w:sz w:val="24"/>
          <w:szCs w:val="24"/>
        </w:rPr>
        <w:t>решење</w:t>
      </w:r>
      <w:proofErr w:type="spellEnd"/>
      <w:r w:rsidRPr="00745F0C">
        <w:rPr>
          <w:rFonts w:eastAsia="Calibri"/>
          <w:sz w:val="24"/>
          <w:szCs w:val="24"/>
        </w:rPr>
        <w:t>.</w:t>
      </w:r>
    </w:p>
    <w:p w14:paraId="4FC841EA" w14:textId="5C7F6519" w:rsidR="00DB5BE5" w:rsidRDefault="00DB5BE5" w:rsidP="00CA688F">
      <w:pPr>
        <w:jc w:val="both"/>
        <w:rPr>
          <w:color w:val="000000"/>
          <w:lang w:val="sr-Cyrl-RS"/>
        </w:rPr>
      </w:pPr>
    </w:p>
    <w:p w14:paraId="07D85EA2" w14:textId="77777777" w:rsidR="00745F0C" w:rsidRDefault="00745F0C" w:rsidP="00745F0C">
      <w:pPr>
        <w:jc w:val="both"/>
        <w:rPr>
          <w:lang w:val="sr-Cyrl-RS"/>
        </w:rPr>
      </w:pPr>
      <w:r>
        <w:rPr>
          <w:lang w:val="sr-Cyrl-RS"/>
        </w:rPr>
        <w:t xml:space="preserve">*Управа прибавља по службеној дужности решење о регистрацији за привредне субјекте који су регистровани у Агенцији за привредне регистре. </w:t>
      </w:r>
      <w:r w:rsidRPr="00745266">
        <w:rPr>
          <w:lang w:val="sr-Cyrl-RS"/>
        </w:rPr>
        <w:t>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661BAEB1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B340CE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F01408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F01408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4EFCF380" w14:textId="56F9C1BC" w:rsidR="00B4388F" w:rsidRDefault="00C86938" w:rsidP="0068393B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B340CE">
        <w:rPr>
          <w:color w:val="000000"/>
          <w:lang w:val="sr-Cyrl-RS"/>
        </w:rPr>
        <w:t xml:space="preserve">захтев </w:t>
      </w:r>
      <w:r>
        <w:rPr>
          <w:color w:val="000000"/>
          <w:lang w:val="sr-Cyrl-RS"/>
        </w:rPr>
        <w:t>неуред</w:t>
      </w:r>
      <w:r w:rsidR="00B340CE">
        <w:rPr>
          <w:color w:val="000000"/>
          <w:lang w:val="sr-Cyrl-RS"/>
        </w:rPr>
        <w:t>а</w:t>
      </w:r>
      <w:r w:rsidRPr="00C86938">
        <w:rPr>
          <w:color w:val="000000"/>
          <w:lang w:val="sr-Cyrl-RS"/>
        </w:rPr>
        <w:t>н</w:t>
      </w:r>
      <w:r>
        <w:rPr>
          <w:color w:val="000000"/>
          <w:lang w:val="sr-Cyrl-RS"/>
        </w:rPr>
        <w:t xml:space="preserve">, </w:t>
      </w:r>
      <w:r w:rsidR="00B340CE">
        <w:rPr>
          <w:color w:val="000000"/>
          <w:lang w:val="sr-Cyrl-RS"/>
        </w:rPr>
        <w:t xml:space="preserve">захтев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F8E5522" w14:textId="77777777" w:rsidR="005B133F" w:rsidRPr="005B133F" w:rsidRDefault="005B133F" w:rsidP="0068393B">
      <w:pPr>
        <w:jc w:val="both"/>
        <w:rPr>
          <w:color w:val="000000"/>
          <w:lang w:val="sr-Cyrl-RS"/>
        </w:rPr>
      </w:pPr>
    </w:p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0FCE41BF" w:rsidR="00D55005" w:rsidRPr="00C86938" w:rsidRDefault="00D55005" w:rsidP="00C86938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B340CE">
              <w:rPr>
                <w:color w:val="000000"/>
                <w:lang w:val="sr-Cyrl-RS"/>
              </w:rPr>
              <w:t>захтева</w:t>
            </w:r>
          </w:p>
        </w:tc>
      </w:tr>
    </w:tbl>
    <w:p w14:paraId="168483A6" w14:textId="77777777" w:rsidR="00745F0C" w:rsidRDefault="00745F0C" w:rsidP="004A632A">
      <w:pPr>
        <w:widowControl/>
        <w:autoSpaceDE/>
        <w:autoSpaceDN/>
        <w:rPr>
          <w:b/>
          <w:bCs/>
          <w:color w:val="000000"/>
        </w:rPr>
      </w:pPr>
    </w:p>
    <w:p w14:paraId="1ECE7420" w14:textId="77777777" w:rsidR="00745F0C" w:rsidRDefault="00745F0C" w:rsidP="004A632A">
      <w:pPr>
        <w:widowControl/>
        <w:autoSpaceDE/>
        <w:autoSpaceDN/>
        <w:rPr>
          <w:b/>
          <w:bCs/>
          <w:color w:val="000000"/>
        </w:rPr>
      </w:pPr>
    </w:p>
    <w:p w14:paraId="375E10BC" w14:textId="77777777" w:rsidR="00662139" w:rsidRPr="00573EA5" w:rsidRDefault="00662139" w:rsidP="00EE5F3B">
      <w:pPr>
        <w:ind w:left="-426"/>
        <w:jc w:val="both"/>
        <w:rPr>
          <w:lang w:val="sr-Cyrl-RS"/>
        </w:rPr>
      </w:pPr>
    </w:p>
    <w:sectPr w:rsidR="00662139" w:rsidRPr="00573EA5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94E0" w14:textId="77777777" w:rsidR="001C089D" w:rsidRDefault="001C089D" w:rsidP="004F2292">
      <w:r>
        <w:separator/>
      </w:r>
    </w:p>
  </w:endnote>
  <w:endnote w:type="continuationSeparator" w:id="0">
    <w:p w14:paraId="1F969BEE" w14:textId="77777777" w:rsidR="001C089D" w:rsidRDefault="001C089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69083A0E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F01408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F73B" w14:textId="77777777" w:rsidR="001C089D" w:rsidRDefault="001C089D" w:rsidP="004F2292">
      <w:r>
        <w:separator/>
      </w:r>
    </w:p>
  </w:footnote>
  <w:footnote w:type="continuationSeparator" w:id="0">
    <w:p w14:paraId="7486AC35" w14:textId="77777777" w:rsidR="001C089D" w:rsidRDefault="001C089D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A91" w14:textId="1DED2827" w:rsidR="00DB5BE5" w:rsidRPr="00DB5BE5" w:rsidRDefault="004F2292" w:rsidP="00DB5BE5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22F8E">
      <w:rPr>
        <w:color w:val="000000"/>
        <w:lang w:val="sr-Cyrl-RS"/>
      </w:rPr>
      <w:t>01.04.00</w:t>
    </w:r>
    <w:r w:rsidR="00E635F3">
      <w:rPr>
        <w:color w:val="000000"/>
        <w:lang w:val="sr-Cyrl-RS"/>
      </w:rPr>
      <w:t>2</w:t>
    </w:r>
    <w:r w:rsidR="00BA0303">
      <w:rPr>
        <w:color w:val="000000"/>
        <w:lang w:val="sr-Cyrl-R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37"/>
    <w:multiLevelType w:val="hybridMultilevel"/>
    <w:tmpl w:val="72C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CB3"/>
    <w:multiLevelType w:val="hybridMultilevel"/>
    <w:tmpl w:val="18CC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31A5"/>
    <w:multiLevelType w:val="hybridMultilevel"/>
    <w:tmpl w:val="61BCF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15911"/>
    <w:rsid w:val="000500CB"/>
    <w:rsid w:val="00063657"/>
    <w:rsid w:val="00087273"/>
    <w:rsid w:val="00087CD3"/>
    <w:rsid w:val="000B4024"/>
    <w:rsid w:val="000B4C1E"/>
    <w:rsid w:val="000B6785"/>
    <w:rsid w:val="000F7B83"/>
    <w:rsid w:val="00146D62"/>
    <w:rsid w:val="001534CD"/>
    <w:rsid w:val="00161707"/>
    <w:rsid w:val="00197F41"/>
    <w:rsid w:val="001C089D"/>
    <w:rsid w:val="001F23FC"/>
    <w:rsid w:val="002054AB"/>
    <w:rsid w:val="00220313"/>
    <w:rsid w:val="0023132E"/>
    <w:rsid w:val="002335FE"/>
    <w:rsid w:val="002412B9"/>
    <w:rsid w:val="00243D1D"/>
    <w:rsid w:val="00254B10"/>
    <w:rsid w:val="00262323"/>
    <w:rsid w:val="00275F63"/>
    <w:rsid w:val="002944C3"/>
    <w:rsid w:val="002A1F8D"/>
    <w:rsid w:val="002A58C3"/>
    <w:rsid w:val="002E2D7B"/>
    <w:rsid w:val="00334586"/>
    <w:rsid w:val="00363B63"/>
    <w:rsid w:val="00395C1A"/>
    <w:rsid w:val="003A0F5B"/>
    <w:rsid w:val="003C5F32"/>
    <w:rsid w:val="003E7EB2"/>
    <w:rsid w:val="003F19E6"/>
    <w:rsid w:val="003F5A7F"/>
    <w:rsid w:val="00410BE8"/>
    <w:rsid w:val="004466E4"/>
    <w:rsid w:val="0047654A"/>
    <w:rsid w:val="004A632A"/>
    <w:rsid w:val="004A71B0"/>
    <w:rsid w:val="004D6AA3"/>
    <w:rsid w:val="004E308F"/>
    <w:rsid w:val="004E346A"/>
    <w:rsid w:val="004F1337"/>
    <w:rsid w:val="004F2292"/>
    <w:rsid w:val="004F5A95"/>
    <w:rsid w:val="005057AB"/>
    <w:rsid w:val="00522EC5"/>
    <w:rsid w:val="00523961"/>
    <w:rsid w:val="005331A2"/>
    <w:rsid w:val="00542450"/>
    <w:rsid w:val="00556136"/>
    <w:rsid w:val="0056701E"/>
    <w:rsid w:val="00573EA5"/>
    <w:rsid w:val="00576E96"/>
    <w:rsid w:val="005B133F"/>
    <w:rsid w:val="005B2AB3"/>
    <w:rsid w:val="005B6AA1"/>
    <w:rsid w:val="0061389E"/>
    <w:rsid w:val="00644647"/>
    <w:rsid w:val="006523C9"/>
    <w:rsid w:val="00653A48"/>
    <w:rsid w:val="00662139"/>
    <w:rsid w:val="00683396"/>
    <w:rsid w:val="0068393B"/>
    <w:rsid w:val="006C66C0"/>
    <w:rsid w:val="006D27B3"/>
    <w:rsid w:val="006F7625"/>
    <w:rsid w:val="007100FD"/>
    <w:rsid w:val="00722F8E"/>
    <w:rsid w:val="007349FD"/>
    <w:rsid w:val="00745F0C"/>
    <w:rsid w:val="007513A5"/>
    <w:rsid w:val="007B23A1"/>
    <w:rsid w:val="007B70E1"/>
    <w:rsid w:val="0080392F"/>
    <w:rsid w:val="008445A3"/>
    <w:rsid w:val="008546E9"/>
    <w:rsid w:val="00874E9E"/>
    <w:rsid w:val="00884101"/>
    <w:rsid w:val="008C2605"/>
    <w:rsid w:val="009073B2"/>
    <w:rsid w:val="00944BEA"/>
    <w:rsid w:val="00956301"/>
    <w:rsid w:val="0096312C"/>
    <w:rsid w:val="00974DF7"/>
    <w:rsid w:val="009B407A"/>
    <w:rsid w:val="009B48AA"/>
    <w:rsid w:val="009B7CF5"/>
    <w:rsid w:val="00A4401C"/>
    <w:rsid w:val="00AB30C5"/>
    <w:rsid w:val="00AB3A01"/>
    <w:rsid w:val="00B1688E"/>
    <w:rsid w:val="00B27D76"/>
    <w:rsid w:val="00B31E1F"/>
    <w:rsid w:val="00B33022"/>
    <w:rsid w:val="00B340CE"/>
    <w:rsid w:val="00B4388F"/>
    <w:rsid w:val="00B46E83"/>
    <w:rsid w:val="00B62400"/>
    <w:rsid w:val="00BA01DA"/>
    <w:rsid w:val="00BA0303"/>
    <w:rsid w:val="00BA0471"/>
    <w:rsid w:val="00BC5831"/>
    <w:rsid w:val="00BC6E75"/>
    <w:rsid w:val="00BD0AC9"/>
    <w:rsid w:val="00BE565F"/>
    <w:rsid w:val="00BE6094"/>
    <w:rsid w:val="00C04652"/>
    <w:rsid w:val="00C10111"/>
    <w:rsid w:val="00C22F82"/>
    <w:rsid w:val="00C32287"/>
    <w:rsid w:val="00C86938"/>
    <w:rsid w:val="00C872A6"/>
    <w:rsid w:val="00C907B8"/>
    <w:rsid w:val="00C93F9D"/>
    <w:rsid w:val="00C94574"/>
    <w:rsid w:val="00C952A4"/>
    <w:rsid w:val="00CA688F"/>
    <w:rsid w:val="00CB0BB2"/>
    <w:rsid w:val="00CE2E46"/>
    <w:rsid w:val="00CF6942"/>
    <w:rsid w:val="00D3766C"/>
    <w:rsid w:val="00D523CF"/>
    <w:rsid w:val="00D55005"/>
    <w:rsid w:val="00D610D7"/>
    <w:rsid w:val="00D818ED"/>
    <w:rsid w:val="00D81D45"/>
    <w:rsid w:val="00D907B1"/>
    <w:rsid w:val="00DB5BE5"/>
    <w:rsid w:val="00DC56D9"/>
    <w:rsid w:val="00E04FD7"/>
    <w:rsid w:val="00E317D3"/>
    <w:rsid w:val="00E31C3A"/>
    <w:rsid w:val="00E32659"/>
    <w:rsid w:val="00E45514"/>
    <w:rsid w:val="00E517A5"/>
    <w:rsid w:val="00E56EEE"/>
    <w:rsid w:val="00E635F3"/>
    <w:rsid w:val="00E75D03"/>
    <w:rsid w:val="00EA569E"/>
    <w:rsid w:val="00EC1947"/>
    <w:rsid w:val="00EC3144"/>
    <w:rsid w:val="00ED4CEA"/>
    <w:rsid w:val="00EE5F3B"/>
    <w:rsid w:val="00F01408"/>
    <w:rsid w:val="00F05F6D"/>
    <w:rsid w:val="00F312F6"/>
    <w:rsid w:val="00F5549F"/>
    <w:rsid w:val="00F81777"/>
    <w:rsid w:val="00FA2DD9"/>
    <w:rsid w:val="00FD72B0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06AB-E971-4751-A1B8-2C7C1EE5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126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26</cp:revision>
  <cp:lastPrinted>2019-09-06T17:44:00Z</cp:lastPrinted>
  <dcterms:created xsi:type="dcterms:W3CDTF">2019-11-22T10:23:00Z</dcterms:created>
  <dcterms:modified xsi:type="dcterms:W3CDTF">2023-12-20T08:04:00Z</dcterms:modified>
</cp:coreProperties>
</file>